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3F" w:rsidRDefault="003A293F" w:rsidP="00E27779">
      <w:pPr>
        <w:pStyle w:val="Ttulo"/>
      </w:pPr>
      <w:r w:rsidRPr="003A293F">
        <w:t>VNI DURANTE EL PROCESO DE DESTETE EN PACIENTES CRONICAMENTE CRITICOS</w:t>
      </w:r>
    </w:p>
    <w:p w:rsidR="003A293F" w:rsidRPr="00E27779" w:rsidRDefault="003A293F" w:rsidP="00E27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E27779">
        <w:rPr>
          <w:rStyle w:val="Ttulo1Car"/>
        </w:rPr>
        <w:t>Autores:</w:t>
      </w:r>
      <w:r w:rsidRPr="003A293F">
        <w:rPr>
          <w:rFonts w:ascii="AdvOT1c339561" w:hAnsi="AdvOT1c339561" w:cs="AdvOT1c339561"/>
          <w:color w:val="231F20"/>
        </w:rPr>
        <w:t xml:space="preserve"> </w:t>
      </w:r>
      <w:r w:rsidRPr="00E27779">
        <w:rPr>
          <w:rFonts w:ascii="Arial" w:hAnsi="Arial" w:cs="Arial"/>
          <w:color w:val="231F20"/>
        </w:rPr>
        <w:t>Jesus Sancho</w:t>
      </w:r>
      <w:r w:rsidRPr="00E27779">
        <w:rPr>
          <w:rFonts w:ascii="Arial" w:hAnsi="Arial" w:cs="Arial"/>
          <w:color w:val="231F20"/>
          <w:sz w:val="15"/>
          <w:szCs w:val="15"/>
        </w:rPr>
        <w:t>1,2</w:t>
      </w:r>
      <w:r w:rsidRPr="00E27779">
        <w:rPr>
          <w:rFonts w:ascii="Arial" w:hAnsi="Arial" w:cs="Arial"/>
          <w:color w:val="231F20"/>
        </w:rPr>
        <w:t>, Emilio Servera</w:t>
      </w:r>
      <w:r w:rsidRPr="00E27779">
        <w:rPr>
          <w:rFonts w:ascii="Arial" w:hAnsi="Arial" w:cs="Arial"/>
          <w:color w:val="231F20"/>
          <w:sz w:val="15"/>
          <w:szCs w:val="15"/>
        </w:rPr>
        <w:t>1,2,3</w:t>
      </w:r>
      <w:r w:rsidRPr="00E27779">
        <w:rPr>
          <w:rFonts w:ascii="Arial" w:hAnsi="Arial" w:cs="Arial"/>
          <w:color w:val="231F20"/>
        </w:rPr>
        <w:t xml:space="preserve">, Luis Jara-Palomares </w:t>
      </w:r>
      <w:r w:rsidRPr="00E27779">
        <w:rPr>
          <w:rFonts w:ascii="Arial" w:hAnsi="Arial" w:cs="Arial"/>
          <w:color w:val="231F20"/>
          <w:sz w:val="15"/>
          <w:szCs w:val="15"/>
        </w:rPr>
        <w:t>4</w:t>
      </w:r>
      <w:r w:rsidRPr="00E27779">
        <w:rPr>
          <w:rFonts w:ascii="Arial" w:hAnsi="Arial" w:cs="Arial"/>
          <w:color w:val="231F20"/>
        </w:rPr>
        <w:t>, Emilia Barrot</w:t>
      </w:r>
      <w:r w:rsidRPr="00E27779">
        <w:rPr>
          <w:rFonts w:ascii="Arial" w:hAnsi="Arial" w:cs="Arial"/>
          <w:color w:val="231F20"/>
          <w:sz w:val="15"/>
          <w:szCs w:val="15"/>
        </w:rPr>
        <w:t>4</w:t>
      </w:r>
      <w:r w:rsidRPr="00E27779">
        <w:rPr>
          <w:rFonts w:ascii="Arial" w:hAnsi="Arial" w:cs="Arial"/>
          <w:color w:val="231F20"/>
        </w:rPr>
        <w:t>,</w:t>
      </w:r>
      <w:r w:rsidR="00E27779">
        <w:rPr>
          <w:rFonts w:ascii="Arial" w:hAnsi="Arial" w:cs="Arial"/>
          <w:color w:val="231F20"/>
        </w:rPr>
        <w:t xml:space="preserve"> </w:t>
      </w:r>
      <w:r w:rsidRPr="00E27779">
        <w:rPr>
          <w:rFonts w:ascii="Arial" w:hAnsi="Arial" w:cs="Arial"/>
          <w:color w:val="231F20"/>
        </w:rPr>
        <w:t>Raquel Sanchez-Oro-Gómez</w:t>
      </w:r>
      <w:r w:rsidRPr="00E27779">
        <w:rPr>
          <w:rFonts w:ascii="Arial" w:hAnsi="Arial" w:cs="Arial"/>
          <w:color w:val="231F20"/>
          <w:sz w:val="15"/>
          <w:szCs w:val="15"/>
        </w:rPr>
        <w:t>4</w:t>
      </w:r>
      <w:r w:rsidRPr="00E27779">
        <w:rPr>
          <w:rFonts w:ascii="Arial" w:hAnsi="Arial" w:cs="Arial"/>
          <w:color w:val="231F20"/>
        </w:rPr>
        <w:t>, F. Javier Gómez de Terreros</w:t>
      </w:r>
      <w:r w:rsidRPr="00E27779">
        <w:rPr>
          <w:rFonts w:ascii="Arial" w:hAnsi="Arial" w:cs="Arial"/>
          <w:color w:val="231F20"/>
          <w:sz w:val="15"/>
          <w:szCs w:val="15"/>
        </w:rPr>
        <w:t>5,6</w:t>
      </w:r>
      <w:r w:rsidRPr="00E27779">
        <w:rPr>
          <w:rFonts w:ascii="Arial" w:hAnsi="Arial" w:cs="Arial"/>
          <w:color w:val="231F20"/>
        </w:rPr>
        <w:t>,</w:t>
      </w:r>
      <w:r w:rsidR="00E27779">
        <w:rPr>
          <w:rFonts w:ascii="Arial" w:hAnsi="Arial" w:cs="Arial"/>
          <w:color w:val="231F20"/>
        </w:rPr>
        <w:t xml:space="preserve"> </w:t>
      </w:r>
      <w:r w:rsidRPr="00E27779">
        <w:rPr>
          <w:rFonts w:ascii="Arial" w:hAnsi="Arial" w:cs="Arial"/>
          <w:color w:val="231F20"/>
        </w:rPr>
        <w:t>M. Jesús Martín-Vicente</w:t>
      </w:r>
      <w:r w:rsidRPr="00E27779">
        <w:rPr>
          <w:rFonts w:ascii="Arial" w:hAnsi="Arial" w:cs="Arial"/>
          <w:color w:val="231F20"/>
          <w:sz w:val="15"/>
          <w:szCs w:val="15"/>
        </w:rPr>
        <w:t>5,6</w:t>
      </w:r>
      <w:r w:rsidRPr="00E27779">
        <w:rPr>
          <w:rFonts w:ascii="Arial" w:hAnsi="Arial" w:cs="Arial"/>
          <w:color w:val="231F20"/>
        </w:rPr>
        <w:t>, Isabel Utrabo</w:t>
      </w:r>
      <w:r w:rsidRPr="00E27779">
        <w:rPr>
          <w:rFonts w:ascii="Arial" w:hAnsi="Arial" w:cs="Arial"/>
          <w:color w:val="231F20"/>
          <w:sz w:val="15"/>
          <w:szCs w:val="15"/>
        </w:rPr>
        <w:t>5,6</w:t>
      </w:r>
      <w:r w:rsidRPr="00E27779">
        <w:rPr>
          <w:rFonts w:ascii="Arial" w:hAnsi="Arial" w:cs="Arial"/>
          <w:color w:val="231F20"/>
        </w:rPr>
        <w:t>, M. Belen Núñez</w:t>
      </w:r>
      <w:r w:rsidRPr="00E27779">
        <w:rPr>
          <w:rFonts w:ascii="Arial" w:hAnsi="Arial" w:cs="Arial"/>
          <w:color w:val="231F20"/>
          <w:sz w:val="15"/>
          <w:szCs w:val="15"/>
        </w:rPr>
        <w:t>6,7</w:t>
      </w:r>
      <w:r w:rsidRPr="00E27779">
        <w:rPr>
          <w:rFonts w:ascii="Arial" w:hAnsi="Arial" w:cs="Arial"/>
          <w:color w:val="231F20"/>
        </w:rPr>
        <w:t>,</w:t>
      </w:r>
      <w:r w:rsidR="00E27779">
        <w:rPr>
          <w:rFonts w:ascii="Arial" w:hAnsi="Arial" w:cs="Arial"/>
          <w:color w:val="231F20"/>
        </w:rPr>
        <w:t xml:space="preserve"> </w:t>
      </w:r>
      <w:r w:rsidRPr="00E27779">
        <w:rPr>
          <w:rFonts w:ascii="Arial" w:hAnsi="Arial" w:cs="Arial"/>
          <w:color w:val="231F20"/>
        </w:rPr>
        <w:t>Alicia Binimelis</w:t>
      </w:r>
      <w:r w:rsidRPr="00E27779">
        <w:rPr>
          <w:rFonts w:ascii="Arial" w:hAnsi="Arial" w:cs="Arial"/>
          <w:color w:val="231F20"/>
          <w:sz w:val="15"/>
          <w:szCs w:val="15"/>
        </w:rPr>
        <w:t>6,7</w:t>
      </w:r>
      <w:r w:rsidRPr="00E27779">
        <w:rPr>
          <w:rFonts w:ascii="Arial" w:hAnsi="Arial" w:cs="Arial"/>
          <w:color w:val="231F20"/>
        </w:rPr>
        <w:t>, Ernest Sala</w:t>
      </w:r>
      <w:r w:rsidRPr="00E27779">
        <w:rPr>
          <w:rFonts w:ascii="Arial" w:hAnsi="Arial" w:cs="Arial"/>
          <w:color w:val="231F20"/>
          <w:sz w:val="15"/>
          <w:szCs w:val="15"/>
        </w:rPr>
        <w:t>6,7</w:t>
      </w:r>
      <w:r w:rsidRPr="00E27779">
        <w:rPr>
          <w:rFonts w:ascii="Arial" w:hAnsi="Arial" w:cs="Arial"/>
          <w:color w:val="231F20"/>
        </w:rPr>
        <w:t>, Enrique Zamora</w:t>
      </w:r>
      <w:r w:rsidRPr="00E27779">
        <w:rPr>
          <w:rFonts w:ascii="Arial" w:hAnsi="Arial" w:cs="Arial"/>
          <w:color w:val="231F20"/>
          <w:sz w:val="15"/>
          <w:szCs w:val="15"/>
        </w:rPr>
        <w:t>8</w:t>
      </w:r>
      <w:r w:rsidRPr="00E27779">
        <w:rPr>
          <w:rFonts w:ascii="Arial" w:hAnsi="Arial" w:cs="Arial"/>
          <w:color w:val="231F20"/>
        </w:rPr>
        <w:t>, Gonzalo Segrelles</w:t>
      </w:r>
      <w:r w:rsidRPr="00E27779">
        <w:rPr>
          <w:rFonts w:ascii="Arial" w:hAnsi="Arial" w:cs="Arial"/>
          <w:color w:val="231F20"/>
          <w:sz w:val="15"/>
          <w:szCs w:val="15"/>
        </w:rPr>
        <w:t>8</w:t>
      </w:r>
      <w:r w:rsidRPr="00E27779">
        <w:rPr>
          <w:rFonts w:ascii="Arial" w:hAnsi="Arial" w:cs="Arial"/>
          <w:color w:val="231F20"/>
        </w:rPr>
        <w:t>,</w:t>
      </w:r>
      <w:r w:rsidR="00E27779">
        <w:rPr>
          <w:rFonts w:ascii="Arial" w:hAnsi="Arial" w:cs="Arial"/>
          <w:color w:val="231F20"/>
        </w:rPr>
        <w:t xml:space="preserve"> </w:t>
      </w:r>
      <w:r w:rsidRPr="00E27779">
        <w:rPr>
          <w:rFonts w:ascii="Arial" w:hAnsi="Arial" w:cs="Arial"/>
          <w:color w:val="231F20"/>
        </w:rPr>
        <w:t>Angel Ortega-Gonzalez</w:t>
      </w:r>
      <w:r w:rsidRPr="00E27779">
        <w:rPr>
          <w:rFonts w:ascii="Arial" w:hAnsi="Arial" w:cs="Arial"/>
          <w:color w:val="231F20"/>
          <w:sz w:val="15"/>
          <w:szCs w:val="15"/>
        </w:rPr>
        <w:t xml:space="preserve">9 </w:t>
      </w:r>
      <w:r w:rsidRPr="00E27779">
        <w:rPr>
          <w:rFonts w:ascii="Arial" w:hAnsi="Arial" w:cs="Arial"/>
          <w:color w:val="231F20"/>
        </w:rPr>
        <w:t>and Fernando Masa</w:t>
      </w:r>
      <w:r w:rsidRPr="00E27779">
        <w:rPr>
          <w:rFonts w:ascii="Arial" w:hAnsi="Arial" w:cs="Arial"/>
          <w:color w:val="231F20"/>
          <w:sz w:val="15"/>
          <w:szCs w:val="15"/>
        </w:rPr>
        <w:t xml:space="preserve">5,6 </w:t>
      </w:r>
      <w:r w:rsidRPr="00E27779">
        <w:rPr>
          <w:rFonts w:ascii="Arial" w:hAnsi="Arial" w:cs="Arial"/>
          <w:color w:val="231F20"/>
        </w:rPr>
        <w:t>on behalf of the Spanish</w:t>
      </w:r>
      <w:r w:rsidR="00E27779">
        <w:rPr>
          <w:rFonts w:ascii="Arial" w:hAnsi="Arial" w:cs="Arial"/>
          <w:color w:val="231F20"/>
        </w:rPr>
        <w:t xml:space="preserve"> </w:t>
      </w:r>
      <w:r w:rsidRPr="00E27779">
        <w:rPr>
          <w:rFonts w:ascii="Arial" w:hAnsi="Arial" w:cs="Arial"/>
          <w:color w:val="231F20"/>
        </w:rPr>
        <w:t>Respiratory Intermediate Care Units Group.</w:t>
      </w:r>
    </w:p>
    <w:p w:rsidR="003A293F" w:rsidRPr="00F23F14" w:rsidRDefault="003A293F" w:rsidP="003A293F">
      <w:r w:rsidRPr="003A293F">
        <w:rPr>
          <w:rFonts w:ascii="AdvOT1c339561" w:hAnsi="AdvOT1c339561" w:cs="AdvOT1c339561"/>
          <w:color w:val="231F20"/>
        </w:rPr>
        <w:t xml:space="preserve">ERJ Open Res 2016; 2: 00061-2016 | </w:t>
      </w:r>
      <w:r w:rsidRPr="00F23F14">
        <w:rPr>
          <w:rFonts w:ascii="AdvOT1c339561" w:hAnsi="AdvOT1c339561" w:cs="AdvOT1c339561"/>
          <w:color w:val="231F20"/>
        </w:rPr>
        <w:t>DOI: 10.1183/23120541.00061-2016</w:t>
      </w:r>
    </w:p>
    <w:p w:rsidR="004907C3" w:rsidRPr="00E27779" w:rsidRDefault="004907C3" w:rsidP="00E27779">
      <w:pPr>
        <w:pStyle w:val="Ttulo1"/>
      </w:pPr>
      <w:r w:rsidRPr="00E27779">
        <w:t>Resumen</w:t>
      </w:r>
      <w:r w:rsidR="00D668B5">
        <w:t xml:space="preserve"> del trabajo </w:t>
      </w:r>
    </w:p>
    <w:p w:rsidR="004907C3" w:rsidRPr="004907C3" w:rsidRDefault="004907C3" w:rsidP="00E27779">
      <w:pPr>
        <w:pStyle w:val="Ttulo2"/>
      </w:pPr>
      <w:r w:rsidRPr="004907C3">
        <w:t>Introducción</w:t>
      </w:r>
    </w:p>
    <w:p w:rsidR="00E368F6" w:rsidRDefault="003A293F" w:rsidP="00331B65">
      <w:pPr>
        <w:ind w:firstLine="708"/>
        <w:jc w:val="both"/>
      </w:pPr>
      <w:r>
        <w:t>L</w:t>
      </w:r>
      <w:r w:rsidR="00B90806">
        <w:t>os pacientes crónicamente crí</w:t>
      </w:r>
      <w:r w:rsidR="00E27779">
        <w:t>ticos (PCC</w:t>
      </w:r>
      <w:r>
        <w:t>) representan aproximadamente el 15% de los ingresos admitidos en UTIs, en ellos la mortalidad y morbilidad alcanzan al 37% de los costos de estas unidades</w:t>
      </w:r>
      <w:r w:rsidR="00E368F6">
        <w:t>. P</w:t>
      </w:r>
      <w:r w:rsidR="00D668B5">
        <w:t>or é</w:t>
      </w:r>
      <w:r>
        <w:t>sta</w:t>
      </w:r>
      <w:r w:rsidR="00E368F6">
        <w:t xml:space="preserve"> </w:t>
      </w:r>
      <w:r>
        <w:t>y otras razones es que se</w:t>
      </w:r>
      <w:r w:rsidR="00E27779">
        <w:t xml:space="preserve"> han</w:t>
      </w:r>
      <w:r>
        <w:t xml:space="preserve"> desarrollaron </w:t>
      </w:r>
      <w:r w:rsidR="00E368F6">
        <w:t>unidades especializadas en desvinculación de la VM</w:t>
      </w:r>
      <w:r w:rsidR="009A4D14">
        <w:t xml:space="preserve"> (CDVM)</w:t>
      </w:r>
      <w:r w:rsidR="00E368F6">
        <w:t>.</w:t>
      </w:r>
      <w:r w:rsidR="00E27779">
        <w:t xml:space="preserve"> </w:t>
      </w:r>
      <w:r w:rsidR="00D668B5">
        <w:t xml:space="preserve">Los métodos </w:t>
      </w:r>
      <w:r w:rsidR="00E876E9">
        <w:t>más</w:t>
      </w:r>
      <w:r w:rsidR="00D668B5">
        <w:t xml:space="preserve"> u</w:t>
      </w:r>
      <w:r w:rsidR="00E368F6">
        <w:t>t</w:t>
      </w:r>
      <w:r w:rsidR="00B90806">
        <w:t>i</w:t>
      </w:r>
      <w:r w:rsidR="00E368F6">
        <w:t>lizados para la des</w:t>
      </w:r>
      <w:r w:rsidR="00B90806">
        <w:t>v</w:t>
      </w:r>
      <w:r w:rsidR="00E368F6">
        <w:t xml:space="preserve">inculación son PSV y </w:t>
      </w:r>
      <w:r w:rsidR="00F23F14">
        <w:t>PVE</w:t>
      </w:r>
      <w:r w:rsidR="00E368F6">
        <w:t xml:space="preserve"> en TT.</w:t>
      </w:r>
      <w:r w:rsidR="00E27779">
        <w:t xml:space="preserve"> La VNI es una</w:t>
      </w:r>
      <w:r w:rsidR="00E368F6">
        <w:t xml:space="preserve"> herramienta </w:t>
      </w:r>
      <w:r w:rsidR="00E27779">
        <w:t>m</w:t>
      </w:r>
      <w:r w:rsidR="00D668B5">
        <w:t>á</w:t>
      </w:r>
      <w:r w:rsidR="00E27779">
        <w:t xml:space="preserve">s como opción </w:t>
      </w:r>
      <w:r w:rsidR="00E368F6">
        <w:t xml:space="preserve">en el proceso de desvinculación de la </w:t>
      </w:r>
      <w:r w:rsidR="00F46CC7">
        <w:t>VM</w:t>
      </w:r>
      <w:r w:rsidR="00E368F6">
        <w:t>, fundame</w:t>
      </w:r>
      <w:r>
        <w:t>ntalmente en</w:t>
      </w:r>
      <w:r w:rsidR="00E368F6">
        <w:t xml:space="preserve"> pacientes con EPOC.</w:t>
      </w:r>
      <w:r w:rsidR="00E27779">
        <w:t xml:space="preserve"> </w:t>
      </w:r>
      <w:r w:rsidR="00E368F6">
        <w:t>El objetivo del estudio fue</w:t>
      </w:r>
      <w:r w:rsidR="004907C3">
        <w:t xml:space="preserve"> “</w:t>
      </w:r>
      <w:r w:rsidR="004907C3" w:rsidRPr="004907C3">
        <w:rPr>
          <w:b/>
        </w:rPr>
        <w:t>d</w:t>
      </w:r>
      <w:r w:rsidR="00E368F6" w:rsidRPr="00F36843">
        <w:rPr>
          <w:b/>
        </w:rPr>
        <w:t>eterminar el papel de la VNI durante el destete en pacientes crónicamente críticos con VMP y si un parámetro clínico o funcional puede predecir la necesidad de VNI en PCC durante el proceso de destete</w:t>
      </w:r>
      <w:r w:rsidR="004907C3">
        <w:rPr>
          <w:b/>
        </w:rPr>
        <w:t>”</w:t>
      </w:r>
      <w:r w:rsidR="00E368F6">
        <w:t>.</w:t>
      </w:r>
    </w:p>
    <w:p w:rsidR="00E368F6" w:rsidRPr="004907C3" w:rsidRDefault="00E368F6" w:rsidP="00E27779">
      <w:pPr>
        <w:pStyle w:val="Ttulo2"/>
      </w:pPr>
      <w:r w:rsidRPr="004907C3">
        <w:t>M</w:t>
      </w:r>
      <w:r w:rsidR="004907C3" w:rsidRPr="004907C3">
        <w:t xml:space="preserve">ateriales </w:t>
      </w:r>
      <w:r w:rsidRPr="004907C3">
        <w:t>y</w:t>
      </w:r>
      <w:r w:rsidR="004907C3" w:rsidRPr="004907C3">
        <w:t xml:space="preserve"> </w:t>
      </w:r>
      <w:r w:rsidRPr="004907C3">
        <w:t>M</w:t>
      </w:r>
      <w:r w:rsidR="004907C3" w:rsidRPr="004907C3">
        <w:t>étodo</w:t>
      </w:r>
    </w:p>
    <w:p w:rsidR="00D12F88" w:rsidRDefault="00C95EF9" w:rsidP="00331B65">
      <w:pPr>
        <w:ind w:firstLine="708"/>
        <w:jc w:val="both"/>
      </w:pPr>
      <w:r>
        <w:t>Prospectivo-Multicé</w:t>
      </w:r>
      <w:r w:rsidR="00E368F6">
        <w:t>ntrico</w:t>
      </w:r>
      <w:r w:rsidR="00D12F88">
        <w:t xml:space="preserve">. </w:t>
      </w:r>
      <w:r w:rsidR="00E368F6">
        <w:t>Dic. 2013-Dic. 2014</w:t>
      </w:r>
      <w:r w:rsidR="00D12F88">
        <w:t xml:space="preserve">. </w:t>
      </w:r>
      <w:r w:rsidR="00BB6A26">
        <w:t xml:space="preserve">PCC= </w:t>
      </w:r>
      <w:r w:rsidR="00E368F6">
        <w:t>Se definió como alguien que ha sobrevivido a una enfermedad o lesión grave aguda,</w:t>
      </w:r>
      <w:r w:rsidR="004907C3">
        <w:t xml:space="preserve"> pero que aún </w:t>
      </w:r>
      <w:r w:rsidR="00E368F6">
        <w:t>no se había recuperado hasta el punto de liberación de las terapias de mantenimiento de la vida</w:t>
      </w:r>
      <w:r w:rsidR="004907C3">
        <w:t>.</w:t>
      </w:r>
      <w:r w:rsidR="00E368F6">
        <w:t xml:space="preserve"> VMP=</w:t>
      </w:r>
      <w:r w:rsidR="004907C3">
        <w:t xml:space="preserve"> </w:t>
      </w:r>
      <w:r w:rsidR="009A4D14">
        <w:t>VM &gt;21d. al menos 6 h</w:t>
      </w:r>
      <w:r w:rsidR="00E368F6">
        <w:t>s/d.</w:t>
      </w:r>
      <w:r w:rsidR="00D12F88">
        <w:t xml:space="preserve"> </w:t>
      </w:r>
    </w:p>
    <w:p w:rsidR="00E368F6" w:rsidRDefault="00E368F6" w:rsidP="00E368F6">
      <w:r w:rsidRPr="00D12F88">
        <w:rPr>
          <w:b/>
        </w:rPr>
        <w:t>Protocolo de Weaning</w:t>
      </w:r>
      <w:r w:rsidR="00D12F88">
        <w:t xml:space="preserve"> </w:t>
      </w:r>
    </w:p>
    <w:p w:rsidR="00E368F6" w:rsidRDefault="00E368F6" w:rsidP="00331B65">
      <w:pPr>
        <w:ind w:firstLine="708"/>
        <w:jc w:val="both"/>
      </w:pPr>
      <w:r>
        <w:t xml:space="preserve">En la admisión de la unidad de cuidados respiratorios, la </w:t>
      </w:r>
      <w:r w:rsidR="00331B65">
        <w:t xml:space="preserve">cánula de </w:t>
      </w:r>
      <w:r>
        <w:t xml:space="preserve">traqueotomía </w:t>
      </w:r>
      <w:r w:rsidR="0074037B">
        <w:t xml:space="preserve">se cambió por una </w:t>
      </w:r>
      <w:r w:rsidR="003A293F">
        <w:t xml:space="preserve">fenestrada </w:t>
      </w:r>
      <w:r w:rsidR="0074037B">
        <w:t xml:space="preserve">y cánula interna, y la VM fue en </w:t>
      </w:r>
      <w:r>
        <w:t>presión</w:t>
      </w:r>
      <w:r w:rsidR="0074037B">
        <w:t xml:space="preserve"> de soporte (PSV)</w:t>
      </w:r>
      <w:r>
        <w:t>.</w:t>
      </w:r>
      <w:r w:rsidR="004907C3">
        <w:t xml:space="preserve"> </w:t>
      </w:r>
      <w:r>
        <w:t xml:space="preserve">La PEEP fue de 4-6 cmH2O y el soporte de presión se estableció para lograr un VT de 8 </w:t>
      </w:r>
      <w:r w:rsidR="00E876E9">
        <w:t>ml</w:t>
      </w:r>
      <w:r w:rsidR="003A293F">
        <w:t>/kg del peso corporal predicho</w:t>
      </w:r>
      <w:r>
        <w:t>. La FR 12-18 x min</w:t>
      </w:r>
      <w:r w:rsidR="004907C3">
        <w:t xml:space="preserve">. </w:t>
      </w:r>
      <w:r>
        <w:t>La sensibilidad de disparo se est</w:t>
      </w:r>
      <w:r w:rsidR="0074037B">
        <w:t xml:space="preserve">ableció en -1 cmH2O. Los </w:t>
      </w:r>
      <w:r w:rsidR="00B92121">
        <w:t>parámetros</w:t>
      </w:r>
      <w:r>
        <w:t xml:space="preserve"> del ventilador fueron reajustados para mayor comodidad del paciente</w:t>
      </w:r>
      <w:r w:rsidR="004907C3">
        <w:t xml:space="preserve"> y</w:t>
      </w:r>
      <w:r>
        <w:t xml:space="preserve"> teniendo en cuenta los valores de gas</w:t>
      </w:r>
      <w:r w:rsidR="004907C3">
        <w:t>es en</w:t>
      </w:r>
      <w:r>
        <w:t xml:space="preserve"> sangre arterial, con el fin de intentar mantener el dióxido de carbono arterial</w:t>
      </w:r>
      <w:r w:rsidR="004907C3">
        <w:t xml:space="preserve"> </w:t>
      </w:r>
      <w:r>
        <w:t>PaCO2 &lt;45 mmHg. La fracción inspiratoria de oxígeno (FIO2) se ajustó con el fin de mantener la</w:t>
      </w:r>
      <w:r w:rsidR="004907C3">
        <w:t xml:space="preserve"> </w:t>
      </w:r>
      <w:r>
        <w:t>Saturación de oxígeno medida por oximetría de pulso (SpO2)</w:t>
      </w:r>
      <w:r w:rsidR="005E6529">
        <w:t xml:space="preserve"> </w:t>
      </w:r>
      <w:r w:rsidR="00BB6A26">
        <w:t>&gt;</w:t>
      </w:r>
      <w:r>
        <w:t xml:space="preserve">90%. </w:t>
      </w:r>
      <w:r w:rsidR="00D12F88">
        <w:t xml:space="preserve"> </w:t>
      </w:r>
      <w:r>
        <w:t xml:space="preserve">Se realizo FBC para detectar posibles </w:t>
      </w:r>
      <w:r w:rsidR="0074037B">
        <w:t xml:space="preserve">lesiones relacionadas </w:t>
      </w:r>
      <w:r w:rsidR="005E6529">
        <w:t xml:space="preserve">con </w:t>
      </w:r>
      <w:r w:rsidR="0074037B">
        <w:t xml:space="preserve">la intubación o </w:t>
      </w:r>
      <w:r w:rsidR="005E6529">
        <w:t xml:space="preserve">con la realización </w:t>
      </w:r>
      <w:r>
        <w:t>de</w:t>
      </w:r>
      <w:r w:rsidR="0074037B">
        <w:t xml:space="preserve"> la</w:t>
      </w:r>
      <w:r>
        <w:t xml:space="preserve"> traqueotomía.</w:t>
      </w:r>
      <w:r w:rsidR="004907C3">
        <w:t xml:space="preserve"> </w:t>
      </w:r>
      <w:r w:rsidR="00D12F88">
        <w:t xml:space="preserve"> </w:t>
      </w:r>
      <w:r>
        <w:t>Durante los</w:t>
      </w:r>
      <w:r w:rsidR="00D12F88">
        <w:t xml:space="preserve"> días siguientes, se realizó </w:t>
      </w:r>
      <w:r w:rsidR="00F23F14">
        <w:t>PVE</w:t>
      </w:r>
      <w:r>
        <w:t xml:space="preserve">. </w:t>
      </w:r>
    </w:p>
    <w:p w:rsidR="000B726A" w:rsidRDefault="00FA5E7B" w:rsidP="00331B65">
      <w:pPr>
        <w:ind w:firstLine="708"/>
        <w:jc w:val="both"/>
      </w:pPr>
      <w:r>
        <w:lastRenderedPageBreak/>
        <w:t xml:space="preserve">Durante la </w:t>
      </w:r>
      <w:r w:rsidR="00F23F14">
        <w:t>PVE</w:t>
      </w:r>
      <w:r w:rsidR="00D668B5">
        <w:t>, el balón</w:t>
      </w:r>
      <w:r w:rsidR="004907C3">
        <w:t xml:space="preserve"> del tubo de traqueotomía s</w:t>
      </w:r>
      <w:r w:rsidR="00E368F6">
        <w:t>e desinfló y se utilizó una cánula interna fenestrada.</w:t>
      </w:r>
      <w:r w:rsidR="00D12F88">
        <w:t xml:space="preserve"> Se colocó un HME.</w:t>
      </w:r>
      <w:r w:rsidR="0058048E">
        <w:t xml:space="preserve"> y</w:t>
      </w:r>
      <w:r w:rsidR="00D12F88">
        <w:t xml:space="preserve"> </w:t>
      </w:r>
      <w:r w:rsidR="00E368F6">
        <w:t xml:space="preserve">O2 </w:t>
      </w:r>
      <w:r w:rsidR="005E6529">
        <w:t xml:space="preserve">suplementario para </w:t>
      </w:r>
      <w:r w:rsidR="00E368F6">
        <w:t>mantener SpO2</w:t>
      </w:r>
      <w:r w:rsidR="005E6529">
        <w:t xml:space="preserve"> </w:t>
      </w:r>
      <w:r w:rsidR="0058048E">
        <w:t xml:space="preserve">&gt;92%. </w:t>
      </w:r>
      <w:r w:rsidR="00E368F6">
        <w:t xml:space="preserve">La frecuencia y duración del </w:t>
      </w:r>
      <w:r w:rsidR="00F23F14">
        <w:t>PVE</w:t>
      </w:r>
      <w:r w:rsidR="005E6529">
        <w:t xml:space="preserve"> s</w:t>
      </w:r>
      <w:r w:rsidR="00E368F6">
        <w:t>e incrementó progresivamente durante los siguientes días de acuerdo</w:t>
      </w:r>
      <w:r w:rsidR="004907C3">
        <w:t xml:space="preserve"> </w:t>
      </w:r>
      <w:r w:rsidR="00E368F6">
        <w:t xml:space="preserve">a la tolerancia del paciente. </w:t>
      </w:r>
      <w:r w:rsidR="005E6529">
        <w:t xml:space="preserve">La </w:t>
      </w:r>
      <w:r w:rsidR="00E876E9">
        <w:t xml:space="preserve">PVE fue interrumpida y la VM se inició y se mantuvo durante el resto del período de </w:t>
      </w:r>
      <w:r w:rsidR="005E6529">
        <w:t>24 horas, si el paciente presentaba</w:t>
      </w:r>
      <w:r w:rsidR="00E876E9">
        <w:t xml:space="preserve"> al menos una de las sigui</w:t>
      </w:r>
      <w:r w:rsidR="005E6529">
        <w:t xml:space="preserve">entes: agitación, diaforesis, estado mental deprimido, cianosis, disnea, </w:t>
      </w:r>
      <w:r w:rsidR="00E876E9">
        <w:t>uso de músculos accesorios, SpO2 &lt;</w:t>
      </w:r>
      <w:r w:rsidR="005E6529">
        <w:t>90%, FR &gt;35 resp/min o aumento</w:t>
      </w:r>
      <w:r w:rsidR="00E876E9">
        <w:t xml:space="preserve"> </w:t>
      </w:r>
      <w:r w:rsidR="005E6529">
        <w:t>de</w:t>
      </w:r>
      <w:r w:rsidR="00E876E9">
        <w:t xml:space="preserve"> un 50</w:t>
      </w:r>
      <w:r w:rsidR="005E6529">
        <w:t>% del basal,</w:t>
      </w:r>
      <w:r w:rsidR="009C0813">
        <w:t xml:space="preserve"> FC &gt;</w:t>
      </w:r>
      <w:r w:rsidR="00E876E9">
        <w:t>140 lat/min o aument</w:t>
      </w:r>
      <w:r w:rsidR="005E6529">
        <w:t>o de</w:t>
      </w:r>
      <w:r w:rsidR="00E876E9">
        <w:t xml:space="preserve"> un 20%</w:t>
      </w:r>
      <w:r w:rsidR="005E6529">
        <w:t xml:space="preserve"> del basal, p</w:t>
      </w:r>
      <w:r w:rsidR="00E876E9">
        <w:t xml:space="preserve">resión arterial </w:t>
      </w:r>
      <w:r w:rsidR="009C0813">
        <w:t>sistólica &gt;</w:t>
      </w:r>
      <w:r w:rsidR="005E6529">
        <w:t>180 mmHg o aumento de</w:t>
      </w:r>
      <w:r w:rsidR="00E876E9">
        <w:t xml:space="preserve"> un 20%</w:t>
      </w:r>
      <w:r w:rsidR="005E6529">
        <w:t xml:space="preserve"> del basal,</w:t>
      </w:r>
      <w:r w:rsidR="00E876E9">
        <w:t xml:space="preserve"> presi</w:t>
      </w:r>
      <w:r w:rsidR="005E6529">
        <w:t>ón sanguínea sistólica &lt;90 mmHg,</w:t>
      </w:r>
      <w:r w:rsidR="00E876E9">
        <w:t xml:space="preserve"> o arritmia cardíaca. </w:t>
      </w:r>
      <w:r w:rsidR="00E368F6">
        <w:t>Una vez que el paciente fue capaz de mantener la ventilación espontánea durante 24 h</w:t>
      </w:r>
      <w:r w:rsidR="005E6529">
        <w:t>s</w:t>
      </w:r>
      <w:r w:rsidR="00BA2737">
        <w:t>.</w:t>
      </w:r>
      <w:r w:rsidR="005E6529">
        <w:t>,</w:t>
      </w:r>
      <w:r w:rsidR="00BA2737">
        <w:t xml:space="preserve"> </w:t>
      </w:r>
      <w:r w:rsidR="005E6529">
        <w:t>el</w:t>
      </w:r>
      <w:r w:rsidR="00E368F6">
        <w:t xml:space="preserve"> tubo de traqueotomía fue reemplazado por uno sin balón y con fenestra</w:t>
      </w:r>
      <w:r w:rsidR="00D668B5">
        <w:t>s</w:t>
      </w:r>
      <w:r w:rsidR="00E368F6">
        <w:t xml:space="preserve"> + tapón.</w:t>
      </w:r>
      <w:r w:rsidR="00D12F88">
        <w:t xml:space="preserve"> </w:t>
      </w:r>
      <w:r w:rsidR="00E368F6">
        <w:t xml:space="preserve">Cuando el paciente fue capaz de mantener una ventilación adecuada </w:t>
      </w:r>
      <w:r w:rsidR="00D668B5">
        <w:t>con el t</w:t>
      </w:r>
      <w:r w:rsidR="00B92121">
        <w:t xml:space="preserve">ubo de traqueotomía </w:t>
      </w:r>
      <w:r w:rsidR="00E368F6">
        <w:t>tapa</w:t>
      </w:r>
      <w:r w:rsidR="00B92121">
        <w:t>d</w:t>
      </w:r>
      <w:r w:rsidR="005E6529">
        <w:t>o</w:t>
      </w:r>
      <w:r w:rsidR="00E368F6">
        <w:t xml:space="preserve"> y fue capaz de expulsar secreciones respiratorias por la tos, el tubo de traqueotomía</w:t>
      </w:r>
      <w:r w:rsidR="00BA2737">
        <w:t xml:space="preserve"> se retiró.</w:t>
      </w:r>
    </w:p>
    <w:p w:rsidR="008E19B6" w:rsidRDefault="00F23F14" w:rsidP="008E186A">
      <w:pPr>
        <w:pStyle w:val="Ttulo2"/>
      </w:pPr>
      <w:r>
        <w:t>R</w:t>
      </w:r>
      <w:r w:rsidR="00865944">
        <w:t>esultados</w:t>
      </w:r>
    </w:p>
    <w:p w:rsidR="008E186A" w:rsidRDefault="00D668B5" w:rsidP="007A0254">
      <w:pPr>
        <w:spacing w:after="0" w:line="240" w:lineRule="auto"/>
        <w:ind w:firstLine="708"/>
      </w:pPr>
      <w:r>
        <w:t>A</w:t>
      </w:r>
      <w:r w:rsidR="008E186A">
        <w:t xml:space="preserve">nalizaron 231 PCC. En la Tabla 1 se resumen las características de los mismos. </w:t>
      </w:r>
    </w:p>
    <w:p w:rsidR="007A0254" w:rsidRDefault="007A0254" w:rsidP="007A0254">
      <w:pPr>
        <w:spacing w:after="0" w:line="240" w:lineRule="auto"/>
        <w:ind w:firstLine="708"/>
      </w:pPr>
    </w:p>
    <w:p w:rsidR="00B075D2" w:rsidRDefault="00B075D2" w:rsidP="008E186A">
      <w:pPr>
        <w:spacing w:after="0" w:line="240" w:lineRule="auto"/>
      </w:pPr>
      <w:r w:rsidRPr="00B075D2">
        <w:rPr>
          <w:noProof/>
        </w:rPr>
        <w:drawing>
          <wp:inline distT="0" distB="0" distL="0" distR="0">
            <wp:extent cx="5612130" cy="4436598"/>
            <wp:effectExtent l="19050" t="0" r="762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3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54" w:rsidRDefault="007A0254" w:rsidP="008E186A">
      <w:pPr>
        <w:spacing w:after="0" w:line="240" w:lineRule="auto"/>
      </w:pPr>
    </w:p>
    <w:p w:rsidR="008E186A" w:rsidRDefault="008E186A" w:rsidP="00331B65">
      <w:pPr>
        <w:spacing w:after="0" w:line="240" w:lineRule="auto"/>
        <w:jc w:val="both"/>
      </w:pPr>
      <w:r>
        <w:t>Estadía en la</w:t>
      </w:r>
      <w:r w:rsidR="009F2883">
        <w:t>s</w:t>
      </w:r>
      <w:r>
        <w:t xml:space="preserve"> unidades de desvinculación 56±</w:t>
      </w:r>
      <w:r w:rsidR="00E4246D">
        <w:t>40 d</w:t>
      </w:r>
      <w:r>
        <w:t>.</w:t>
      </w:r>
      <w:r w:rsidR="00E4246D">
        <w:t xml:space="preserve"> </w:t>
      </w:r>
    </w:p>
    <w:p w:rsidR="00E4246D" w:rsidRDefault="00E4246D" w:rsidP="00331B65">
      <w:pPr>
        <w:spacing w:after="0" w:line="240" w:lineRule="auto"/>
        <w:jc w:val="both"/>
      </w:pPr>
      <w:r>
        <w:t>Desvinculados 198 (85,71%) en 25±16 d.</w:t>
      </w:r>
    </w:p>
    <w:p w:rsidR="008E186A" w:rsidRDefault="008E186A" w:rsidP="00331B65">
      <w:pPr>
        <w:spacing w:after="0" w:line="240" w:lineRule="auto"/>
        <w:jc w:val="both"/>
      </w:pPr>
      <w:r>
        <w:lastRenderedPageBreak/>
        <w:t xml:space="preserve">Mortalidad </w:t>
      </w:r>
      <w:r w:rsidR="00E4246D">
        <w:t>29 (</w:t>
      </w:r>
      <w:r>
        <w:t>12</w:t>
      </w:r>
      <w:r w:rsidR="00E4246D">
        <w:t>,</w:t>
      </w:r>
      <w:r>
        <w:t>6%</w:t>
      </w:r>
      <w:r w:rsidR="00E4246D">
        <w:t>)</w:t>
      </w:r>
      <w:r w:rsidR="005E6529">
        <w:t>.</w:t>
      </w:r>
    </w:p>
    <w:p w:rsidR="008E186A" w:rsidRDefault="00E4246D" w:rsidP="00331B65">
      <w:pPr>
        <w:spacing w:after="0" w:line="240" w:lineRule="auto"/>
        <w:jc w:val="both"/>
      </w:pPr>
      <w:r>
        <w:t xml:space="preserve">4 </w:t>
      </w:r>
      <w:r w:rsidR="00E876E9">
        <w:t>pctes.</w:t>
      </w:r>
      <w:r w:rsidR="005B6533">
        <w:t xml:space="preserve"> (1,7%)</w:t>
      </w:r>
      <w:r w:rsidR="005E6529">
        <w:t xml:space="preserve"> s</w:t>
      </w:r>
      <w:r>
        <w:t>e fueron a su casa con VM a través de la TQT</w:t>
      </w:r>
      <w:r w:rsidR="005E6529">
        <w:t>.</w:t>
      </w:r>
    </w:p>
    <w:p w:rsidR="00E4246D" w:rsidRDefault="00E4246D" w:rsidP="00331B65">
      <w:pPr>
        <w:spacing w:after="0" w:line="240" w:lineRule="auto"/>
        <w:jc w:val="both"/>
      </w:pPr>
      <w:r>
        <w:t xml:space="preserve">Solo 1 pcte. </w:t>
      </w:r>
      <w:r w:rsidR="005E6529">
        <w:t>no</w:t>
      </w:r>
      <w:r>
        <w:t xml:space="preserve"> logró ser decanulado.</w:t>
      </w:r>
    </w:p>
    <w:p w:rsidR="00492C27" w:rsidRDefault="00E4246D" w:rsidP="00331B65">
      <w:pPr>
        <w:spacing w:after="0" w:line="240" w:lineRule="auto"/>
        <w:jc w:val="both"/>
      </w:pPr>
      <w:r>
        <w:t>Destino al alta</w:t>
      </w:r>
      <w:r w:rsidR="009C0813">
        <w:t>:</w:t>
      </w:r>
      <w:r>
        <w:t xml:space="preserve"> 149 (65%) al domicilio, 17</w:t>
      </w:r>
      <w:r w:rsidR="005B6533">
        <w:t xml:space="preserve"> </w:t>
      </w:r>
      <w:r>
        <w:t>(7,4%) transferidos dentro del hospital a otro servicio o departamento, 36 (15,6%)</w:t>
      </w:r>
      <w:r w:rsidR="005B6533">
        <w:t xml:space="preserve"> a Unidades de Rehabilitación y C</w:t>
      </w:r>
      <w:r w:rsidR="00492C27">
        <w:t>uidad</w:t>
      </w:r>
      <w:r w:rsidR="005B6533">
        <w:t>os a Largo P</w:t>
      </w:r>
      <w:r w:rsidR="00492C27">
        <w:t xml:space="preserve">lazo. </w:t>
      </w:r>
    </w:p>
    <w:p w:rsidR="00650C89" w:rsidRDefault="00492C27" w:rsidP="00331B65">
      <w:pPr>
        <w:spacing w:after="0" w:line="240" w:lineRule="auto"/>
        <w:jc w:val="both"/>
      </w:pPr>
      <w:r>
        <w:t>Luego del alta</w:t>
      </w:r>
      <w:r w:rsidR="005B6533">
        <w:t>,</w:t>
      </w:r>
      <w:r>
        <w:t xml:space="preserve"> la mortalidad durante el primer año fue de 32%.</w:t>
      </w:r>
    </w:p>
    <w:p w:rsidR="009A4D14" w:rsidRDefault="009A4D14" w:rsidP="00650C89">
      <w:pPr>
        <w:spacing w:after="0" w:line="240" w:lineRule="auto"/>
      </w:pPr>
    </w:p>
    <w:p w:rsidR="00650C89" w:rsidRDefault="009F2883" w:rsidP="00331B65">
      <w:pPr>
        <w:spacing w:after="0" w:line="240" w:lineRule="auto"/>
        <w:jc w:val="both"/>
      </w:pPr>
      <w:r w:rsidRPr="00D668B5">
        <w:rPr>
          <w:b/>
        </w:rPr>
        <w:t>En aquellos pacientes que fueron exitosamente desvincula</w:t>
      </w:r>
      <w:r w:rsidR="00D668B5" w:rsidRPr="00D668B5">
        <w:rPr>
          <w:b/>
        </w:rPr>
        <w:t>d</w:t>
      </w:r>
      <w:r w:rsidRPr="00D668B5">
        <w:rPr>
          <w:b/>
        </w:rPr>
        <w:t>os</w:t>
      </w:r>
      <w:r w:rsidR="005B6533">
        <w:rPr>
          <w:b/>
        </w:rPr>
        <w:t>,</w:t>
      </w:r>
      <w:r w:rsidRPr="00D668B5">
        <w:rPr>
          <w:b/>
        </w:rPr>
        <w:t xml:space="preserve"> 40</w:t>
      </w:r>
      <w:r w:rsidR="00D668B5" w:rsidRPr="00D668B5">
        <w:rPr>
          <w:b/>
        </w:rPr>
        <w:t xml:space="preserve"> </w:t>
      </w:r>
      <w:r w:rsidRPr="00D668B5">
        <w:rPr>
          <w:b/>
        </w:rPr>
        <w:t>(21,4%) necesitaron VNI en el proceso de destete</w:t>
      </w:r>
      <w:r>
        <w:t>.</w:t>
      </w:r>
    </w:p>
    <w:p w:rsidR="00B941A4" w:rsidRDefault="00B941A4" w:rsidP="00331B65">
      <w:pPr>
        <w:spacing w:after="0" w:line="240" w:lineRule="auto"/>
        <w:jc w:val="both"/>
      </w:pPr>
      <w:r>
        <w:t xml:space="preserve">El criterio utilizado para transferir a VNI </w:t>
      </w:r>
      <w:r w:rsidRPr="00B941A4">
        <w:t xml:space="preserve">fue </w:t>
      </w:r>
      <w:r w:rsidR="009C0813">
        <w:t>PaCO2 &gt;</w:t>
      </w:r>
      <w:r w:rsidR="000A7A10">
        <w:t xml:space="preserve">45 </w:t>
      </w:r>
      <w:r w:rsidR="005B6533">
        <w:t xml:space="preserve">mmHg </w:t>
      </w:r>
      <w:r w:rsidR="000A7A10">
        <w:t>luego de 24 hs.</w:t>
      </w:r>
      <w:r w:rsidR="005B6533">
        <w:t xml:space="preserve"> </w:t>
      </w:r>
      <w:r w:rsidR="000A7A10">
        <w:t xml:space="preserve">de VE o </w:t>
      </w:r>
      <w:r w:rsidRPr="00B941A4">
        <w:t>cuando resultó imposible aumentar la</w:t>
      </w:r>
      <w:r w:rsidR="000A7A10">
        <w:t xml:space="preserve"> </w:t>
      </w:r>
      <w:r w:rsidRPr="00B941A4">
        <w:t>duración del la PVE más allá de 18 hs</w:t>
      </w:r>
      <w:r w:rsidR="005B6533">
        <w:t>.</w:t>
      </w:r>
      <w:r w:rsidRPr="00B941A4">
        <w:t xml:space="preserve"> durante cinco días consecutivos.</w:t>
      </w:r>
    </w:p>
    <w:p w:rsidR="00B941A4" w:rsidRPr="009C0813" w:rsidRDefault="00B941A4" w:rsidP="00331B65">
      <w:pPr>
        <w:spacing w:after="0" w:line="240" w:lineRule="auto"/>
        <w:jc w:val="both"/>
      </w:pPr>
      <w:r>
        <w:t>El criterio para considerar de</w:t>
      </w:r>
      <w:r w:rsidR="005B6533">
        <w:t>svinculación exitosa fue de 7 dí</w:t>
      </w:r>
      <w:r>
        <w:t>as consecutivos sin VM o solamente VNI nocturna.</w:t>
      </w:r>
    </w:p>
    <w:p w:rsidR="009F2883" w:rsidRPr="00F46CC7" w:rsidRDefault="00D668B5" w:rsidP="00331B65">
      <w:pPr>
        <w:spacing w:after="0" w:line="240" w:lineRule="auto"/>
        <w:jc w:val="both"/>
      </w:pPr>
      <w:r w:rsidRPr="00F46CC7">
        <w:t>E</w:t>
      </w:r>
      <w:r w:rsidR="009F2883" w:rsidRPr="00F46CC7">
        <w:t>ncontraron diferencias estadísticam</w:t>
      </w:r>
      <w:r w:rsidR="007A4E62" w:rsidRPr="00F46CC7">
        <w:t xml:space="preserve">ente significativas (DES) entre </w:t>
      </w:r>
      <w:r w:rsidR="009F2883" w:rsidRPr="00F46CC7">
        <w:t>el grupo que requirió y</w:t>
      </w:r>
      <w:r w:rsidR="00DA4FC3" w:rsidRPr="00F46CC7">
        <w:t xml:space="preserve"> el que </w:t>
      </w:r>
      <w:r w:rsidR="00F46CC7" w:rsidRPr="00F46CC7">
        <w:t>no</w:t>
      </w:r>
      <w:r w:rsidR="009F2883" w:rsidRPr="00F46CC7">
        <w:t xml:space="preserve"> </w:t>
      </w:r>
      <w:r w:rsidR="00DA4FC3" w:rsidRPr="00F46CC7">
        <w:t xml:space="preserve">requirió </w:t>
      </w:r>
      <w:r w:rsidR="003265B1" w:rsidRPr="00F46CC7">
        <w:t xml:space="preserve">VNI en cuanto a </w:t>
      </w:r>
      <w:r w:rsidR="00E876E9" w:rsidRPr="00F46CC7">
        <w:t>SAHS (12.8% vs. 3.4%), falla cardíaca congestiva (30.8% vs. 12.3%), falla renal crónica (17.5% vs. 4.1%), uso domiciliario de CPAP (10.3% vs. 2.7%) y uso domiciliario de VNI (7.7% vs. 0.7%).</w:t>
      </w:r>
      <w:bookmarkStart w:id="0" w:name="_GoBack"/>
      <w:bookmarkEnd w:id="0"/>
    </w:p>
    <w:p w:rsidR="00D175EF" w:rsidRDefault="00E208BF" w:rsidP="00331B65">
      <w:pPr>
        <w:spacing w:line="240" w:lineRule="auto"/>
        <w:jc w:val="both"/>
      </w:pPr>
      <w:r>
        <w:t>No se observó DES en polineuro/miopatía entre los dos grupos</w:t>
      </w:r>
      <w:r w:rsidR="00D36A8C">
        <w:t xml:space="preserve"> (72.7% vs. 74.6%)</w:t>
      </w:r>
      <w:r>
        <w:t>.</w:t>
      </w:r>
    </w:p>
    <w:p w:rsidR="00554F8C" w:rsidRDefault="00E208BF" w:rsidP="008E186A">
      <w:pPr>
        <w:spacing w:line="240" w:lineRule="auto"/>
      </w:pPr>
      <w:r>
        <w:t>El análisis univariado para predecir</w:t>
      </w:r>
      <w:r w:rsidR="007A4E62">
        <w:t xml:space="preserve"> la necesidad de VNI se muestra</w:t>
      </w:r>
      <w:r>
        <w:t xml:space="preserve"> en la tabla 3.</w:t>
      </w:r>
      <w:r w:rsidR="00554F8C" w:rsidRPr="00554F8C">
        <w:rPr>
          <w:noProof/>
        </w:rPr>
        <w:drawing>
          <wp:inline distT="0" distB="0" distL="0" distR="0">
            <wp:extent cx="5613384" cy="4349163"/>
            <wp:effectExtent l="19050" t="0" r="6366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4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54" w:rsidRDefault="007A0254" w:rsidP="008E186A">
      <w:pPr>
        <w:spacing w:line="240" w:lineRule="auto"/>
      </w:pPr>
    </w:p>
    <w:p w:rsidR="008E19B6" w:rsidRDefault="00E208BF" w:rsidP="00331B65">
      <w:pPr>
        <w:spacing w:line="240" w:lineRule="auto"/>
        <w:jc w:val="both"/>
      </w:pPr>
      <w:r w:rsidRPr="007A4E62">
        <w:rPr>
          <w:b/>
        </w:rPr>
        <w:lastRenderedPageBreak/>
        <w:t>En el análisis multivariado solamente la P</w:t>
      </w:r>
      <w:r w:rsidRPr="007A4E62">
        <w:rPr>
          <w:b/>
          <w:vertAlign w:val="subscript"/>
        </w:rPr>
        <w:t>a</w:t>
      </w:r>
      <w:r w:rsidRPr="007A4E62">
        <w:rPr>
          <w:b/>
        </w:rPr>
        <w:t>CO</w:t>
      </w:r>
      <w:r w:rsidRPr="007A4E62">
        <w:rPr>
          <w:b/>
          <w:vertAlign w:val="subscript"/>
        </w:rPr>
        <w:t xml:space="preserve">2 </w:t>
      </w:r>
      <w:r w:rsidRPr="007A4E62">
        <w:rPr>
          <w:b/>
        </w:rPr>
        <w:t xml:space="preserve">al ingreso al CDVM </w:t>
      </w:r>
      <w:r w:rsidRPr="007A4E62">
        <w:rPr>
          <w:b/>
          <w:i/>
        </w:rPr>
        <w:t>OR 1,08</w:t>
      </w:r>
      <w:r w:rsidRPr="007A4E62">
        <w:rPr>
          <w:b/>
        </w:rPr>
        <w:t xml:space="preserve"> (95% IC 1,01-1,15) predijo la necesidad de VNI</w:t>
      </w:r>
      <w:r>
        <w:t xml:space="preserve">. La curva ROC muestra un </w:t>
      </w:r>
      <w:r w:rsidR="00E876E9">
        <w:t>área</w:t>
      </w:r>
      <w:r>
        <w:t xml:space="preserve"> bajo la curva de 0,694</w:t>
      </w:r>
      <w:r w:rsidR="006864F1">
        <w:t xml:space="preserve"> (95% IC 0,560-0,828), p=0,008.</w:t>
      </w:r>
      <w:r w:rsidR="007A4E62">
        <w:t xml:space="preserve"> </w:t>
      </w:r>
      <w:r w:rsidR="006864F1">
        <w:t>El punto de corte de 45,5 mmHg fue el mejor predictor para identificar a los pacientes que utilizaron VNI en el proceso de desvinculación (sensibilidad 0,76; especificidad 0,67; VPP 0,76; VPN 0,97).</w:t>
      </w:r>
    </w:p>
    <w:p w:rsidR="008E19B6" w:rsidRDefault="00B4780A" w:rsidP="00E368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3498850</wp:posOffset>
                </wp:positionV>
                <wp:extent cx="5786120" cy="353695"/>
                <wp:effectExtent l="13970" t="6350" r="10160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6120" cy="3536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5.2pt;margin-top:275.5pt;width:455.6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ONcQIAAOwEAAAOAAAAZHJzL2Uyb0RvYy54bWysVFFv2yAQfp+0/4B4T22ndppYdaoqjqdJ&#10;3Vqp2w8gGMdoGBiQON3U/74DO1myvkzT/IAPDo777vuO27tDJ9CeGcuVLHByFWPEJFU1l9sCf/1S&#10;TeYYWUdkTYSSrMAvzOK75ft3t73O2VS1StTMIAgibd7rArfO6TyKLG1ZR+yV0kyCs1GmIw6mZhvV&#10;hvQQvRPRNI5nUa9MrY2izFpYLQcnXob4TcOoe2wayxwSBYbcXBhNGDd+jJa3JN8aoltOxzTIP2TR&#10;ES7h0lOokjiCdoa/CdVxapRVjbuiqotU03DKAgZAk8R/oHluiWYBCxTH6lOZ7P8LSz/vnwziNXCH&#10;kSQdUPS4JwJNfWV6bXPY8KyfjMdm9YOi3yySatUSuWX3xqi+ZaSGfBK/P7o44CcWjqJN/0nVEJjs&#10;nApFOjSm8wEBPjoELl5OXLCDQxQWs5v5LJkCZRR819n1bJGFK0h+PK2NdR+Y6pA3CsyE4Nr6cpGc&#10;7B+s8wmR/LjLL0tVcSEC5UKivsCLbJqFA1YJXntnwGm2m5UwCOpQ4KqK4Ruvvthm1E7WIZivwXq0&#10;HeFisOFyIX08gATpjNagip+LeLGer+fpJJ3O1pM0LsvJfbVKJ7MqucnK63K1KpNXn1qS5i2vayZ9&#10;dkeFJunfKWDslUFbJ41eoLCXYCv43oKNLtMIhQVUx39AF8j3fA+62aj6Bbg3amg5eCLAaJX5gVEP&#10;7VZg+31HDMNIfJSgn0WSpr4/wyTNbjzz5tyzOfcQSSFUgR1Gg7lyQ0/vtOHbFm5KAq1S3YPmGh60&#10;4PU4ZDUqFVoqIBjb3/fs+Tzs+v1ILX8BAAD//wMAUEsDBBQABgAIAAAAIQAxeN+Y4QAAAAsBAAAP&#10;AAAAZHJzL2Rvd25yZXYueG1sTI9dS8NAEEXfBf/DMoIv0u6m2LTGbIqIFSkItrbv2+yYhOxH2N22&#10;8d87PunjMJd7zylXozXsjCF23knIpgIYutrrzjUS9p/ryRJYTMppZbxDCd8YYVVdX5Wq0P7itnje&#10;pYZRiYuFktCmNBScx7pFq+LUD+jo9+WDVYnO0HAd1IXKreEzIXJuVedooVUDPrdY97uTlXB3eP94&#10;6eP6TXT9Ihjcvm66w0zK25vx6RFYwjH9heEXn9ChIqajPzkdmZEwycQ9RSXM5xlJUeJBCJI5SshF&#10;vgBelfy/Q/UDAAD//wMAUEsBAi0AFAAGAAgAAAAhALaDOJL+AAAA4QEAABMAAAAAAAAAAAAAAAAA&#10;AAAAAFtDb250ZW50X1R5cGVzXS54bWxQSwECLQAUAAYACAAAACEAOP0h/9YAAACUAQAACwAAAAAA&#10;AAAAAAAAAAAvAQAAX3JlbHMvLnJlbHNQSwECLQAUAAYACAAAACEAcClTjXECAADsBAAADgAAAAAA&#10;AAAAAAAAAAAuAgAAZHJzL2Uyb0RvYy54bWxQSwECLQAUAAYACAAAACEAMXjfmOEAAAALAQAADwAA&#10;AAAAAAAAAAAAAADLBAAAZHJzL2Rvd25yZXYueG1sUEsFBgAAAAAEAAQA8wAAANkFAAAAAA==&#10;" filled="f" strokecolor="red"/>
            </w:pict>
          </mc:Fallback>
        </mc:AlternateContent>
      </w:r>
      <w:r w:rsidR="008E19B6">
        <w:rPr>
          <w:noProof/>
        </w:rPr>
        <w:drawing>
          <wp:inline distT="0" distB="0" distL="0" distR="0">
            <wp:extent cx="5613410" cy="6277855"/>
            <wp:effectExtent l="19050" t="0" r="63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7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CF" w:rsidRDefault="00573DCF" w:rsidP="00E27779">
      <w:pPr>
        <w:pStyle w:val="Ttulo2"/>
      </w:pPr>
    </w:p>
    <w:p w:rsidR="00573DCF" w:rsidRPr="00573DCF" w:rsidRDefault="00573DCF" w:rsidP="00573DCF"/>
    <w:p w:rsidR="0013366E" w:rsidRDefault="002F3807" w:rsidP="00E27779">
      <w:pPr>
        <w:pStyle w:val="Ttulo2"/>
      </w:pPr>
      <w:r w:rsidRPr="002F3807">
        <w:lastRenderedPageBreak/>
        <w:t>Comentario</w:t>
      </w:r>
      <w:r w:rsidR="00CC0FAE">
        <w:t xml:space="preserve"> del artículo</w:t>
      </w:r>
    </w:p>
    <w:p w:rsidR="004157FE" w:rsidRPr="004157FE" w:rsidRDefault="004157FE" w:rsidP="004157FE"/>
    <w:p w:rsidR="00797AA8" w:rsidRDefault="00D667B7" w:rsidP="00573DCF">
      <w:pPr>
        <w:jc w:val="both"/>
      </w:pPr>
      <w:r>
        <w:tab/>
        <w:t xml:space="preserve">He leído con gran interés este artículo </w:t>
      </w:r>
      <w:sdt>
        <w:sdtPr>
          <w:id w:val="1685890"/>
          <w:citation/>
        </w:sdtPr>
        <w:sdtEndPr/>
        <w:sdtContent>
          <w:r w:rsidR="00EB375F">
            <w:fldChar w:fldCharType="begin"/>
          </w:r>
          <w:r w:rsidR="0073478F">
            <w:rPr>
              <w:lang w:val="es-MX"/>
            </w:rPr>
            <w:instrText xml:space="preserve"> CITATION San17 \l 2058 </w:instrText>
          </w:r>
          <w:r w:rsidR="00EB375F">
            <w:fldChar w:fldCharType="separate"/>
          </w:r>
          <w:r w:rsidR="0073478F">
            <w:rPr>
              <w:noProof/>
              <w:lang w:val="es-MX"/>
            </w:rPr>
            <w:t>(Sancho 2017)</w:t>
          </w:r>
          <w:r w:rsidR="00EB375F">
            <w:fldChar w:fldCharType="end"/>
          </w:r>
        </w:sdtContent>
      </w:sdt>
      <w:r w:rsidR="00DA3BCF">
        <w:t xml:space="preserve"> </w:t>
      </w:r>
      <w:r>
        <w:t xml:space="preserve">ya que es un tópico en el cual </w:t>
      </w:r>
      <w:r w:rsidR="00E07044">
        <w:t xml:space="preserve">hemos </w:t>
      </w:r>
      <w:r>
        <w:t xml:space="preserve">trabajado desde hace mucho tiempo. Es muy frecuente escuchar </w:t>
      </w:r>
      <w:r w:rsidR="00CC0FAE">
        <w:t xml:space="preserve">frases como “dejalo hipercápnico que es lo que maneja”, “es retenedor de CO2”, etc. </w:t>
      </w:r>
    </w:p>
    <w:p w:rsidR="00E07044" w:rsidRDefault="004157FE" w:rsidP="00573DCF">
      <w:pPr>
        <w:jc w:val="both"/>
      </w:pPr>
      <w:r>
        <w:tab/>
        <w:t>La hipercapnia en p</w:t>
      </w:r>
      <w:r w:rsidR="00797AA8">
        <w:t xml:space="preserve">acientes bajo ventilación mecánica (VM) </w:t>
      </w:r>
      <w:r>
        <w:t xml:space="preserve">durante el proceso de destete y </w:t>
      </w:r>
      <w:r w:rsidR="00E876E9">
        <w:t>más</w:t>
      </w:r>
      <w:r>
        <w:t xml:space="preserve"> aún al final de un a PVE </w:t>
      </w:r>
      <w:r w:rsidR="00797AA8">
        <w:t xml:space="preserve">predice no solamente mayor tiempo de VM sino también </w:t>
      </w:r>
      <w:r>
        <w:t>mayor mortalidad</w:t>
      </w:r>
      <w:r w:rsidR="00DA3BCF">
        <w:t xml:space="preserve"> </w:t>
      </w:r>
      <w:sdt>
        <w:sdtPr>
          <w:id w:val="1685891"/>
          <w:citation/>
        </w:sdtPr>
        <w:sdtEndPr/>
        <w:sdtContent>
          <w:r w:rsidR="00EB375F">
            <w:fldChar w:fldCharType="begin"/>
          </w:r>
          <w:r w:rsidR="00DA3BCF">
            <w:rPr>
              <w:lang w:val="es-MX"/>
            </w:rPr>
            <w:instrText xml:space="preserve"> CITATION Sel11 \l 2058 </w:instrText>
          </w:r>
          <w:r w:rsidR="00EB375F">
            <w:fldChar w:fldCharType="separate"/>
          </w:r>
          <w:r w:rsidR="00DA3BCF">
            <w:rPr>
              <w:noProof/>
              <w:lang w:val="es-MX"/>
            </w:rPr>
            <w:t>(Sellares 2011)</w:t>
          </w:r>
          <w:r w:rsidR="00EB375F">
            <w:fldChar w:fldCharType="end"/>
          </w:r>
        </w:sdtContent>
      </w:sdt>
      <w:r>
        <w:t>.</w:t>
      </w:r>
      <w:r w:rsidR="007A4E62">
        <w:t xml:space="preserve"> Recientemente se publicaron datos respecto de la relación entre los valores elevados de PaCO2 y mortalidad en pacientes con SDRA.</w:t>
      </w:r>
      <w:r w:rsidR="00DA3BCF">
        <w:t xml:space="preserve"> </w:t>
      </w:r>
      <w:sdt>
        <w:sdtPr>
          <w:id w:val="1685892"/>
          <w:citation/>
        </w:sdtPr>
        <w:sdtEndPr/>
        <w:sdtContent>
          <w:r w:rsidR="00EB375F">
            <w:fldChar w:fldCharType="begin"/>
          </w:r>
          <w:r w:rsidR="00DA3BCF">
            <w:rPr>
              <w:lang w:val="es-MX"/>
            </w:rPr>
            <w:instrText xml:space="preserve"> CITATION Nin17 \l 2058 </w:instrText>
          </w:r>
          <w:r w:rsidR="00EB375F">
            <w:fldChar w:fldCharType="separate"/>
          </w:r>
          <w:r w:rsidR="00DA3BCF">
            <w:rPr>
              <w:noProof/>
              <w:lang w:val="es-MX"/>
            </w:rPr>
            <w:t>(Nin 2017)</w:t>
          </w:r>
          <w:r w:rsidR="00EB375F">
            <w:fldChar w:fldCharType="end"/>
          </w:r>
        </w:sdtContent>
      </w:sdt>
      <w:r w:rsidR="00E07044">
        <w:tab/>
      </w:r>
    </w:p>
    <w:p w:rsidR="00DA3BCF" w:rsidRDefault="00CC0FAE" w:rsidP="00573DCF">
      <w:pPr>
        <w:jc w:val="both"/>
      </w:pPr>
      <w:r>
        <w:tab/>
        <w:t>La posibilidad de sostener la ventilación espontanea (VE) es el objetivo final de</w:t>
      </w:r>
      <w:r w:rsidR="00573DCF">
        <w:t>l</w:t>
      </w:r>
      <w:r>
        <w:t xml:space="preserve"> proceso de desvinculación. Está claro que los pacientes que no pueden mantener la ventilación alveolar (VA) para su</w:t>
      </w:r>
      <w:r w:rsidR="000F7570">
        <w:t xml:space="preserve"> </w:t>
      </w:r>
      <w:r>
        <w:t>demanda metabólica elevarán su P</w:t>
      </w:r>
      <w:r w:rsidR="007A4E62">
        <w:t>a</w:t>
      </w:r>
      <w:r>
        <w:t>CO2.</w:t>
      </w:r>
      <w:r w:rsidR="000F7570">
        <w:t xml:space="preserve"> </w:t>
      </w:r>
    </w:p>
    <w:p w:rsidR="00CC0FAE" w:rsidRDefault="000F7570" w:rsidP="00573DCF">
      <w:pPr>
        <w:ind w:firstLine="708"/>
        <w:jc w:val="both"/>
      </w:pPr>
      <w:r>
        <w:t>La indicación de VNI en algunos grupos de pacientes tiene ya varios años de recomendación (casi 20 años).</w:t>
      </w:r>
      <w:sdt>
        <w:sdtPr>
          <w:id w:val="1685893"/>
          <w:citation/>
        </w:sdtPr>
        <w:sdtEndPr/>
        <w:sdtContent>
          <w:r w:rsidR="00EB375F">
            <w:fldChar w:fldCharType="begin"/>
          </w:r>
          <w:r w:rsidR="00DA3BCF">
            <w:rPr>
              <w:lang w:val="es-MX"/>
            </w:rPr>
            <w:instrText xml:space="preserve"> CITATION Gol99 \l 2058 </w:instrText>
          </w:r>
          <w:r w:rsidR="00EB375F">
            <w:fldChar w:fldCharType="separate"/>
          </w:r>
          <w:r w:rsidR="00DA3BCF">
            <w:rPr>
              <w:noProof/>
              <w:lang w:val="es-MX"/>
            </w:rPr>
            <w:t xml:space="preserve"> (Goldberg 1999)</w:t>
          </w:r>
          <w:r w:rsidR="00EB375F">
            <w:fldChar w:fldCharType="end"/>
          </w:r>
        </w:sdtContent>
      </w:sdt>
      <w:r>
        <w:t xml:space="preserve"> No quedan dudas sobre el uso de VNI en </w:t>
      </w:r>
      <w:r w:rsidR="00573DCF">
        <w:t>pctes.</w:t>
      </w:r>
      <w:r>
        <w:t xml:space="preserve"> neuromusculares pero en aquellos pacientes con EPOC</w:t>
      </w:r>
      <w:r w:rsidR="008D6930">
        <w:t xml:space="preserve"> estuvo discutid</w:t>
      </w:r>
      <w:r>
        <w:t xml:space="preserve">a durante muchos años. </w:t>
      </w:r>
      <w:r w:rsidR="00401F1D">
        <w:t xml:space="preserve">En 2014 el trabajo del grupo alemán trajo algo de claridad cuando encuentra menor mortalidad en aquellos </w:t>
      </w:r>
      <w:r w:rsidR="00B92121">
        <w:t>pctes</w:t>
      </w:r>
      <w:r w:rsidR="00401F1D">
        <w:t xml:space="preserve">. </w:t>
      </w:r>
      <w:r w:rsidR="00B92121">
        <w:t>con</w:t>
      </w:r>
      <w:r w:rsidR="00401F1D">
        <w:t xml:space="preserve"> EPOC hipercápnicos que utilizan VNI nocturna con el objetivo de disminuir 20% la PaCO2 o 48 mmHg a la hora de retirada la VNI</w:t>
      </w:r>
      <w:sdt>
        <w:sdtPr>
          <w:id w:val="1685895"/>
          <w:citation/>
        </w:sdtPr>
        <w:sdtEndPr/>
        <w:sdtContent>
          <w:r w:rsidR="00EB375F">
            <w:fldChar w:fldCharType="begin"/>
          </w:r>
          <w:r w:rsidR="00401F1D">
            <w:rPr>
              <w:lang w:val="es-MX"/>
            </w:rPr>
            <w:instrText xml:space="preserve"> CITATION Koh14 \l 2058 </w:instrText>
          </w:r>
          <w:r w:rsidR="00EB375F">
            <w:fldChar w:fldCharType="separate"/>
          </w:r>
          <w:r w:rsidR="00401F1D">
            <w:rPr>
              <w:noProof/>
              <w:lang w:val="es-MX"/>
            </w:rPr>
            <w:t xml:space="preserve"> (Kohnlein 2014)</w:t>
          </w:r>
          <w:r w:rsidR="00EB375F">
            <w:fldChar w:fldCharType="end"/>
          </w:r>
        </w:sdtContent>
      </w:sdt>
      <w:r w:rsidR="00401F1D">
        <w:t>. Y posteriores trabajos analizan el uso de la VNI luego de una exacerbación de su EPOC</w:t>
      </w:r>
      <w:sdt>
        <w:sdtPr>
          <w:id w:val="1685896"/>
          <w:citation/>
        </w:sdtPr>
        <w:sdtEndPr/>
        <w:sdtContent>
          <w:r w:rsidR="00EB375F">
            <w:fldChar w:fldCharType="begin"/>
          </w:r>
          <w:r w:rsidR="00401F1D">
            <w:rPr>
              <w:lang w:val="es-MX"/>
            </w:rPr>
            <w:instrText xml:space="preserve"> CITATION Gal14 \l 2058 </w:instrText>
          </w:r>
          <w:r w:rsidR="00EB375F">
            <w:fldChar w:fldCharType="separate"/>
          </w:r>
          <w:r w:rsidR="00401F1D">
            <w:rPr>
              <w:noProof/>
              <w:lang w:val="es-MX"/>
            </w:rPr>
            <w:t xml:space="preserve"> (Galli 2014)</w:t>
          </w:r>
          <w:r w:rsidR="00EB375F">
            <w:fldChar w:fldCharType="end"/>
          </w:r>
        </w:sdtContent>
      </w:sdt>
      <w:r w:rsidR="00401F1D">
        <w:t xml:space="preserve">. </w:t>
      </w:r>
      <w:r w:rsidR="000D3788">
        <w:t>En el tópico de la VMP se ha descripto a la hipercapnia como predictor de falla de la desvinculación</w:t>
      </w:r>
      <w:r w:rsidR="0073478F">
        <w:t xml:space="preserve"> en pacientes con EPOC </w:t>
      </w:r>
      <w:sdt>
        <w:sdtPr>
          <w:id w:val="1685889"/>
          <w:citation/>
        </w:sdtPr>
        <w:sdtEndPr/>
        <w:sdtContent>
          <w:r w:rsidR="00EB375F">
            <w:fldChar w:fldCharType="begin"/>
          </w:r>
          <w:r w:rsidR="0073478F">
            <w:rPr>
              <w:lang w:val="es-MX"/>
            </w:rPr>
            <w:instrText xml:space="preserve"> CITATION Rap14 \l 2058  </w:instrText>
          </w:r>
          <w:r w:rsidR="00EB375F">
            <w:fldChar w:fldCharType="separate"/>
          </w:r>
          <w:r w:rsidR="0073478F">
            <w:rPr>
              <w:noProof/>
              <w:lang w:val="es-MX"/>
            </w:rPr>
            <w:t>(Rapella 2014)</w:t>
          </w:r>
          <w:r w:rsidR="00EB375F">
            <w:fldChar w:fldCharType="end"/>
          </w:r>
        </w:sdtContent>
      </w:sdt>
      <w:r w:rsidR="000D3788">
        <w:t>.</w:t>
      </w:r>
      <w:r w:rsidR="00401F1D">
        <w:t xml:space="preserve"> Así como también la especificación de un grupo de pacientes dentro de aquellos con destete prolongado que requieren VNI en el proceso de desvinculación.</w:t>
      </w:r>
      <w:sdt>
        <w:sdtPr>
          <w:id w:val="1685897"/>
          <w:citation/>
        </w:sdtPr>
        <w:sdtEndPr/>
        <w:sdtContent>
          <w:r w:rsidR="00EB375F">
            <w:fldChar w:fldCharType="begin"/>
          </w:r>
          <w:r w:rsidR="00401F1D">
            <w:rPr>
              <w:lang w:val="es-MX"/>
            </w:rPr>
            <w:instrText xml:space="preserve"> CITATION Gei16 \l 2058 </w:instrText>
          </w:r>
          <w:r w:rsidR="00EB375F">
            <w:fldChar w:fldCharType="separate"/>
          </w:r>
          <w:r w:rsidR="00401F1D">
            <w:rPr>
              <w:noProof/>
              <w:lang w:val="es-MX"/>
            </w:rPr>
            <w:t xml:space="preserve"> (Geiseler 2016)</w:t>
          </w:r>
          <w:r w:rsidR="00EB375F">
            <w:fldChar w:fldCharType="end"/>
          </w:r>
        </w:sdtContent>
      </w:sdt>
    </w:p>
    <w:p w:rsidR="002950F7" w:rsidRDefault="004157FE" w:rsidP="00573DCF">
      <w:pPr>
        <w:ind w:firstLine="708"/>
        <w:jc w:val="both"/>
      </w:pPr>
      <w:r>
        <w:t>La utilización de la VNI en pacientes con TQT tiene su racional como soporte ventilatorio en aquellos que puedan proteger su vía aérea</w:t>
      </w:r>
      <w:r w:rsidR="00E876E9">
        <w:t xml:space="preserve"> y retienen CO2</w:t>
      </w:r>
      <w:r w:rsidR="007A4E62">
        <w:t>.</w:t>
      </w:r>
      <w:r w:rsidR="00E876E9">
        <w:t xml:space="preserve"> Esta retención puede ser aguda (12-</w:t>
      </w:r>
      <w:r w:rsidR="005A4333">
        <w:t>2</w:t>
      </w:r>
      <w:r w:rsidR="00E876E9">
        <w:t>4hs) o bien establecerse</w:t>
      </w:r>
      <w:r w:rsidR="002950F7">
        <w:t xml:space="preserve"> con el correr de los días. Es importante notar además que no solo se debe evaluar el valor de PaCO2 aisladamente sino en relación al </w:t>
      </w:r>
      <w:r w:rsidR="00573DCF">
        <w:t>pH</w:t>
      </w:r>
      <w:r w:rsidR="002950F7">
        <w:t xml:space="preserve"> ya que no en pocas oportunidades el nivel de CO2 en la sangre está compensando un desequilibrio metabólico (ionograma, medicación, etc.).</w:t>
      </w:r>
    </w:p>
    <w:p w:rsidR="002950F7" w:rsidRDefault="007E6045" w:rsidP="00573DCF">
      <w:pPr>
        <w:ind w:firstLine="708"/>
        <w:jc w:val="both"/>
      </w:pPr>
      <w:r>
        <w:t>Algunos interrogantes</w:t>
      </w:r>
      <w:r w:rsidR="004157FE">
        <w:t xml:space="preserve"> que surgen del artículo</w:t>
      </w:r>
      <w:r w:rsidR="007A4E62">
        <w:t xml:space="preserve">. No se describe el abordaje del trastorno deglutorio </w:t>
      </w:r>
      <w:r w:rsidR="007A0254">
        <w:t xml:space="preserve">si es que estuvo </w:t>
      </w:r>
      <w:r w:rsidR="007A4E62">
        <w:t>presente en este grupo de pacientes.</w:t>
      </w:r>
      <w:r w:rsidR="00E876E9">
        <w:t xml:space="preserve"> Si bien </w:t>
      </w:r>
      <w:r w:rsidR="00140895">
        <w:t xml:space="preserve">la </w:t>
      </w:r>
      <w:r w:rsidR="00E876E9">
        <w:t xml:space="preserve"> ventilación</w:t>
      </w:r>
      <w:r w:rsidR="00140895">
        <w:t xml:space="preserve"> era</w:t>
      </w:r>
      <w:r w:rsidR="005A4333">
        <w:t xml:space="preserve"> con el objetivo de PaCO2 &lt;</w:t>
      </w:r>
      <w:r w:rsidR="00140895">
        <w:t>45 mmHg</w:t>
      </w:r>
      <w:r w:rsidR="005A4333">
        <w:t>,</w:t>
      </w:r>
      <w:r w:rsidR="00140895">
        <w:t xml:space="preserve"> no se aclara si el estado ácido-base (EAB)</w:t>
      </w:r>
      <w:r w:rsidR="00E876E9">
        <w:t xml:space="preserve"> e</w:t>
      </w:r>
      <w:r w:rsidR="00140895">
        <w:t>ra tomado intra-</w:t>
      </w:r>
      <w:r w:rsidR="00E876E9">
        <w:t xml:space="preserve">VNI o posterior a la retirada de la misma. </w:t>
      </w:r>
      <w:r w:rsidR="00F16F29">
        <w:t>En esa misma línea nuestra experiencia muestra que una</w:t>
      </w:r>
      <w:r w:rsidR="00983FCD">
        <w:t xml:space="preserve"> </w:t>
      </w:r>
      <w:r w:rsidR="00F16F29">
        <w:t>forma de obtener objetivos de P</w:t>
      </w:r>
      <w:r w:rsidR="00983FCD">
        <w:t>a</w:t>
      </w:r>
      <w:r w:rsidR="00F16F29">
        <w:t>CO2 es a través de modos ventilatorios regula</w:t>
      </w:r>
      <w:r w:rsidR="00983FCD">
        <w:t xml:space="preserve">dos por volumen en lugar de </w:t>
      </w:r>
      <w:r w:rsidR="00F16F29">
        <w:t xml:space="preserve">los </w:t>
      </w:r>
      <w:r w:rsidR="002300E1">
        <w:t>presio</w:t>
      </w:r>
      <w:r w:rsidR="00F16F29">
        <w:t xml:space="preserve">métricos ya que estos últimos es variable la ventilación alveolar (VA). </w:t>
      </w:r>
      <w:r>
        <w:t xml:space="preserve">¿Es necesaria la VNI al alta de la Unidad? Sería interesante contar con un estudio randomizado y controlado para evaluar si el uso de VNI en este grupo de pctes. es realmente útil. Otro tópico de investigación podría ser cual es el mejor momento para iniciar VNI y en </w:t>
      </w:r>
      <w:r w:rsidR="00B92121">
        <w:t>qué</w:t>
      </w:r>
      <w:r>
        <w:t xml:space="preserve"> momento reevaluar </w:t>
      </w:r>
      <w:r w:rsidR="00140895">
        <w:t>l</w:t>
      </w:r>
      <w:r>
        <w:t xml:space="preserve">a </w:t>
      </w:r>
      <w:r>
        <w:lastRenderedPageBreak/>
        <w:t>necesidad. Esperemos poder contar con esos datos en el futuro y volcar esa información a nuestros pacientes.</w:t>
      </w:r>
    </w:p>
    <w:p w:rsidR="009A4D14" w:rsidRDefault="009A4D14" w:rsidP="00573DCF">
      <w:pPr>
        <w:ind w:firstLine="708"/>
        <w:jc w:val="both"/>
      </w:pPr>
    </w:p>
    <w:p w:rsidR="00F87531" w:rsidRPr="00985B88" w:rsidRDefault="0073478F" w:rsidP="00573DCF">
      <w:pPr>
        <w:pStyle w:val="Ttulo2"/>
        <w:jc w:val="both"/>
        <w:rPr>
          <w:lang w:val="en-US"/>
        </w:rPr>
      </w:pPr>
      <w:proofErr w:type="spellStart"/>
      <w:r w:rsidRPr="00985B88">
        <w:rPr>
          <w:lang w:val="en-US"/>
        </w:rPr>
        <w:t>Bibliografía</w:t>
      </w:r>
      <w:proofErr w:type="spellEnd"/>
    </w:p>
    <w:p w:rsidR="00F64FB6" w:rsidRPr="00985B88" w:rsidRDefault="00F64FB6" w:rsidP="00573DCF">
      <w:pPr>
        <w:jc w:val="both"/>
        <w:rPr>
          <w:lang w:val="en-US"/>
        </w:rPr>
      </w:pPr>
    </w:p>
    <w:p w:rsidR="003F6E59" w:rsidRPr="003F6E59" w:rsidRDefault="00EB375F" w:rsidP="00573DCF">
      <w:pPr>
        <w:pStyle w:val="Bibliografa"/>
        <w:jc w:val="both"/>
        <w:rPr>
          <w:noProof/>
          <w:lang w:val="en-US"/>
        </w:rPr>
      </w:pPr>
      <w:r>
        <w:fldChar w:fldCharType="begin"/>
      </w:r>
      <w:r w:rsidR="003F6E59" w:rsidRPr="003F6E59">
        <w:rPr>
          <w:lang w:val="en-US"/>
        </w:rPr>
        <w:instrText xml:space="preserve"> BIBLIOGRAPHY  \l 2058 </w:instrText>
      </w:r>
      <w:r>
        <w:fldChar w:fldCharType="separate"/>
      </w:r>
      <w:r w:rsidR="003F6E59" w:rsidRPr="003F6E59">
        <w:rPr>
          <w:noProof/>
          <w:lang w:val="en-US"/>
        </w:rPr>
        <w:t xml:space="preserve">Galli, Jonathan. «Home non-invasive ventilation use following acute hypercapnic respiratory failure in COPD.» </w:t>
      </w:r>
      <w:r w:rsidR="003F6E59" w:rsidRPr="003F6E59">
        <w:rPr>
          <w:i/>
          <w:iCs/>
          <w:noProof/>
          <w:lang w:val="en-US"/>
        </w:rPr>
        <w:t>Respiratory Medicine</w:t>
      </w:r>
      <w:r w:rsidR="003F6E59" w:rsidRPr="003F6E59">
        <w:rPr>
          <w:noProof/>
          <w:lang w:val="en-US"/>
        </w:rPr>
        <w:t>, 2014: 722:728.</w:t>
      </w:r>
    </w:p>
    <w:p w:rsidR="003F6E59" w:rsidRPr="003F6E59" w:rsidRDefault="003F6E59" w:rsidP="00573DCF">
      <w:pPr>
        <w:pStyle w:val="Bibliografa"/>
        <w:jc w:val="both"/>
        <w:rPr>
          <w:noProof/>
          <w:lang w:val="en-US"/>
        </w:rPr>
      </w:pPr>
      <w:r w:rsidRPr="003F6E59">
        <w:rPr>
          <w:noProof/>
          <w:lang w:val="en-US"/>
        </w:rPr>
        <w:t xml:space="preserve">Geiseler, J. «Entwöhnung von dermechanischen Beatmung.» </w:t>
      </w:r>
      <w:r w:rsidRPr="003F6E59">
        <w:rPr>
          <w:i/>
          <w:iCs/>
          <w:noProof/>
          <w:lang w:val="en-US"/>
        </w:rPr>
        <w:t>MedKlin IntensivmedNotfmed</w:t>
      </w:r>
      <w:r w:rsidRPr="003F6E59">
        <w:rPr>
          <w:noProof/>
          <w:lang w:val="en-US"/>
        </w:rPr>
        <w:t>, 2016: 208:214.</w:t>
      </w:r>
    </w:p>
    <w:p w:rsidR="003F6E59" w:rsidRPr="003F6E59" w:rsidRDefault="003F6E59" w:rsidP="00573DCF">
      <w:pPr>
        <w:pStyle w:val="Bibliografa"/>
        <w:jc w:val="both"/>
        <w:rPr>
          <w:noProof/>
          <w:lang w:val="en-US"/>
        </w:rPr>
      </w:pPr>
      <w:r w:rsidRPr="003F6E59">
        <w:rPr>
          <w:noProof/>
          <w:lang w:val="en-US"/>
        </w:rPr>
        <w:t xml:space="preserve">Goldberg, Allen. «Clinical Indications for Noninvasive Positive Pressure Ventilation in Chronic Respiratory Failure Due to Restrictive Lung Disease, COPD, and Nocturnal Hypoventilation—A Consensus Conference Report*.» </w:t>
      </w:r>
      <w:r w:rsidRPr="003F6E59">
        <w:rPr>
          <w:i/>
          <w:iCs/>
          <w:noProof/>
          <w:lang w:val="en-US"/>
        </w:rPr>
        <w:t>Chest</w:t>
      </w:r>
      <w:r w:rsidRPr="003F6E59">
        <w:rPr>
          <w:noProof/>
          <w:lang w:val="en-US"/>
        </w:rPr>
        <w:t>, 1999: 521:534.</w:t>
      </w:r>
    </w:p>
    <w:p w:rsidR="003F6E59" w:rsidRPr="003F6E59" w:rsidRDefault="003F6E59" w:rsidP="00573DCF">
      <w:pPr>
        <w:pStyle w:val="Bibliografa"/>
        <w:jc w:val="both"/>
        <w:rPr>
          <w:noProof/>
          <w:lang w:val="en-US"/>
        </w:rPr>
      </w:pPr>
      <w:r w:rsidRPr="003F6E59">
        <w:rPr>
          <w:noProof/>
          <w:lang w:val="en-US"/>
        </w:rPr>
        <w:t xml:space="preserve">Kohnlein, Thomas. «Non-invasive positive pressure ventilation for the treatment of severe stable chronic obstructive pulmonary disease: a prospective, multicentre, randomised, controlled clinical trial.» </w:t>
      </w:r>
      <w:r w:rsidRPr="003F6E59">
        <w:rPr>
          <w:i/>
          <w:iCs/>
          <w:noProof/>
          <w:lang w:val="en-US"/>
        </w:rPr>
        <w:t>Lancet Respir Med</w:t>
      </w:r>
      <w:r w:rsidRPr="003F6E59">
        <w:rPr>
          <w:noProof/>
          <w:lang w:val="en-US"/>
        </w:rPr>
        <w:t>, 2014: 698:705.</w:t>
      </w:r>
    </w:p>
    <w:p w:rsidR="003F6E59" w:rsidRDefault="003F6E59" w:rsidP="00573DCF">
      <w:pPr>
        <w:pStyle w:val="Bibliografa"/>
        <w:jc w:val="both"/>
        <w:rPr>
          <w:noProof/>
          <w:lang w:val="es-MX"/>
        </w:rPr>
      </w:pPr>
      <w:r w:rsidRPr="003F6E59">
        <w:rPr>
          <w:noProof/>
          <w:lang w:val="en-US"/>
        </w:rPr>
        <w:t xml:space="preserve">Nin, N. «Severe hypercapnia and outcome of mechanically ventilated patients with moderate or severe acute respiratory distress syndrome.» </w:t>
      </w:r>
      <w:r>
        <w:rPr>
          <w:i/>
          <w:iCs/>
          <w:noProof/>
          <w:lang w:val="es-MX"/>
        </w:rPr>
        <w:t>Intensive Care Medicine</w:t>
      </w:r>
      <w:r>
        <w:rPr>
          <w:noProof/>
          <w:lang w:val="es-MX"/>
        </w:rPr>
        <w:t>, 2017: 200:208.</w:t>
      </w:r>
    </w:p>
    <w:p w:rsidR="003F6E59" w:rsidRPr="003F6E59" w:rsidRDefault="003F6E59" w:rsidP="00573DCF">
      <w:pPr>
        <w:pStyle w:val="Bibliografa"/>
        <w:jc w:val="both"/>
        <w:rPr>
          <w:noProof/>
          <w:lang w:val="en-US"/>
        </w:rPr>
      </w:pPr>
      <w:r>
        <w:rPr>
          <w:noProof/>
          <w:lang w:val="es-MX"/>
        </w:rPr>
        <w:t>Rapella, L. «Factores de riesgo para el fracaso del destete en una p</w:t>
      </w:r>
      <w:r w:rsidR="00B92121">
        <w:rPr>
          <w:noProof/>
          <w:lang w:val="es-MX"/>
        </w:rPr>
        <w:t>o</w:t>
      </w:r>
      <w:r>
        <w:rPr>
          <w:noProof/>
          <w:lang w:val="es-MX"/>
        </w:rPr>
        <w:t xml:space="preserve">blación de pacientes con EPOCen ventilación mecánica prolongada.» </w:t>
      </w:r>
      <w:r w:rsidRPr="003F6E59">
        <w:rPr>
          <w:i/>
          <w:iCs/>
          <w:noProof/>
          <w:lang w:val="en-US"/>
        </w:rPr>
        <w:t>Revista Americana de Medicina Respiratoria</w:t>
      </w:r>
      <w:r w:rsidRPr="003F6E59">
        <w:rPr>
          <w:noProof/>
          <w:lang w:val="en-US"/>
        </w:rPr>
        <w:t>, 2014: 232:243.</w:t>
      </w:r>
    </w:p>
    <w:p w:rsidR="003F6E59" w:rsidRPr="003F6E59" w:rsidRDefault="003F6E59" w:rsidP="00573DCF">
      <w:pPr>
        <w:pStyle w:val="Bibliografa"/>
        <w:jc w:val="both"/>
        <w:rPr>
          <w:noProof/>
          <w:lang w:val="en-US"/>
        </w:rPr>
      </w:pPr>
      <w:r w:rsidRPr="003F6E59">
        <w:rPr>
          <w:noProof/>
          <w:lang w:val="en-US"/>
        </w:rPr>
        <w:t xml:space="preserve">Sancho, Jesus. «Noninvasive ventilation during the weaning process in chronically critically ill patients.» </w:t>
      </w:r>
      <w:r w:rsidRPr="003F6E59">
        <w:rPr>
          <w:i/>
          <w:iCs/>
          <w:noProof/>
          <w:lang w:val="en-US"/>
        </w:rPr>
        <w:t>ERJ Open Res</w:t>
      </w:r>
      <w:r w:rsidRPr="003F6E59">
        <w:rPr>
          <w:noProof/>
          <w:lang w:val="en-US"/>
        </w:rPr>
        <w:t>, 2017: 1:8.</w:t>
      </w:r>
    </w:p>
    <w:p w:rsidR="003F6E59" w:rsidRDefault="003F6E59" w:rsidP="00573DCF">
      <w:pPr>
        <w:pStyle w:val="Bibliografa"/>
        <w:jc w:val="both"/>
        <w:rPr>
          <w:noProof/>
          <w:lang w:val="es-MX"/>
        </w:rPr>
      </w:pPr>
      <w:r w:rsidRPr="003F6E59">
        <w:rPr>
          <w:noProof/>
          <w:lang w:val="en-US"/>
        </w:rPr>
        <w:t xml:space="preserve">Sellares, Jacobo. «Predictors of prolonged weaning and survival during ventilator weaning in a respiratory ICU.» </w:t>
      </w:r>
      <w:r>
        <w:rPr>
          <w:i/>
          <w:iCs/>
          <w:noProof/>
          <w:lang w:val="es-MX"/>
        </w:rPr>
        <w:t>Intensive Care Medicine</w:t>
      </w:r>
      <w:r>
        <w:rPr>
          <w:noProof/>
          <w:lang w:val="es-MX"/>
        </w:rPr>
        <w:t>, 2011: 775:784.</w:t>
      </w:r>
    </w:p>
    <w:p w:rsidR="00985B88" w:rsidRDefault="00985B88" w:rsidP="00573DCF">
      <w:pPr>
        <w:jc w:val="both"/>
        <w:rPr>
          <w:lang w:val="es-MX"/>
        </w:rPr>
      </w:pPr>
    </w:p>
    <w:p w:rsidR="00985B88" w:rsidRPr="00985B88" w:rsidRDefault="00985B88" w:rsidP="00573DCF">
      <w:pPr>
        <w:spacing w:after="0"/>
        <w:jc w:val="both"/>
        <w:rPr>
          <w:sz w:val="28"/>
          <w:lang w:val="es-MX"/>
        </w:rPr>
      </w:pPr>
      <w:r w:rsidRPr="00985B88">
        <w:rPr>
          <w:sz w:val="28"/>
          <w:lang w:val="es-MX"/>
        </w:rPr>
        <w:t>Lic. Miguel Escobar</w:t>
      </w:r>
    </w:p>
    <w:p w:rsidR="00985B88" w:rsidRPr="00985B88" w:rsidRDefault="00985B88" w:rsidP="00573DCF">
      <w:pPr>
        <w:spacing w:after="0"/>
        <w:jc w:val="both"/>
        <w:rPr>
          <w:sz w:val="20"/>
          <w:szCs w:val="20"/>
          <w:lang w:val="es-MX"/>
        </w:rPr>
      </w:pPr>
      <w:r w:rsidRPr="00985B88">
        <w:rPr>
          <w:sz w:val="20"/>
          <w:szCs w:val="20"/>
          <w:lang w:val="es-MX"/>
        </w:rPr>
        <w:t>-Coordinador, Centro del Parque</w:t>
      </w:r>
    </w:p>
    <w:p w:rsidR="00985B88" w:rsidRPr="00985B88" w:rsidRDefault="00985B88" w:rsidP="00573DCF">
      <w:pPr>
        <w:spacing w:after="0"/>
        <w:jc w:val="both"/>
        <w:rPr>
          <w:sz w:val="20"/>
          <w:szCs w:val="20"/>
          <w:lang w:val="es-MX"/>
        </w:rPr>
      </w:pPr>
      <w:r w:rsidRPr="00985B88">
        <w:rPr>
          <w:sz w:val="20"/>
          <w:szCs w:val="20"/>
          <w:lang w:val="es-MX"/>
        </w:rPr>
        <w:t>-Kinesiólogo de Planta, Hospital Municipal de Vicente Lopez.  Dr. B. Houssay</w:t>
      </w:r>
    </w:p>
    <w:p w:rsidR="00985B88" w:rsidRPr="00985B88" w:rsidRDefault="00985B88" w:rsidP="00573DCF">
      <w:pPr>
        <w:spacing w:after="0"/>
        <w:jc w:val="both"/>
        <w:rPr>
          <w:sz w:val="20"/>
          <w:szCs w:val="20"/>
          <w:lang w:val="es-MX"/>
        </w:rPr>
      </w:pPr>
      <w:r w:rsidRPr="00985B88">
        <w:rPr>
          <w:sz w:val="20"/>
          <w:szCs w:val="20"/>
          <w:lang w:val="es-MX"/>
        </w:rPr>
        <w:t xml:space="preserve">-Coordinador Carrera de Especialista en Kinesiología Cardiorespiratoria U. Favaloro </w:t>
      </w:r>
    </w:p>
    <w:p w:rsidR="00985B88" w:rsidRPr="00985B88" w:rsidRDefault="00985B88" w:rsidP="00573DCF">
      <w:pPr>
        <w:spacing w:after="0"/>
        <w:jc w:val="both"/>
        <w:rPr>
          <w:sz w:val="20"/>
          <w:szCs w:val="20"/>
          <w:lang w:val="es-MX"/>
        </w:rPr>
      </w:pPr>
      <w:r w:rsidRPr="00985B88">
        <w:rPr>
          <w:sz w:val="20"/>
          <w:szCs w:val="20"/>
          <w:lang w:val="es-MX"/>
        </w:rPr>
        <w:t>Miembro AAMR</w:t>
      </w:r>
    </w:p>
    <w:p w:rsidR="00985B88" w:rsidRPr="00985B88" w:rsidRDefault="00985B88" w:rsidP="00573DCF">
      <w:pPr>
        <w:jc w:val="both"/>
        <w:rPr>
          <w:i/>
          <w:sz w:val="20"/>
          <w:szCs w:val="20"/>
          <w:lang w:val="es-MX"/>
        </w:rPr>
      </w:pPr>
      <w:r w:rsidRPr="00985B88">
        <w:rPr>
          <w:i/>
          <w:sz w:val="20"/>
          <w:szCs w:val="20"/>
          <w:lang w:val="es-MX"/>
        </w:rPr>
        <w:t>kmiguelesco@yahoo.com.ar</w:t>
      </w:r>
    </w:p>
    <w:p w:rsidR="00985B88" w:rsidRPr="00985B88" w:rsidRDefault="00985B88" w:rsidP="00573DCF">
      <w:pPr>
        <w:jc w:val="both"/>
        <w:rPr>
          <w:lang w:val="es-MX"/>
        </w:rPr>
      </w:pPr>
    </w:p>
    <w:p w:rsidR="00F87531" w:rsidRDefault="00EB375F" w:rsidP="005A4333">
      <w:pPr>
        <w:jc w:val="both"/>
      </w:pPr>
      <w:r>
        <w:fldChar w:fldCharType="end"/>
      </w:r>
    </w:p>
    <w:sectPr w:rsidR="00F87531" w:rsidSect="000B7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1c33956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F6"/>
    <w:rsid w:val="000A7A10"/>
    <w:rsid w:val="000B726A"/>
    <w:rsid w:val="000D3788"/>
    <w:rsid w:val="000F7570"/>
    <w:rsid w:val="0013366E"/>
    <w:rsid w:val="00140895"/>
    <w:rsid w:val="00150C85"/>
    <w:rsid w:val="002300E1"/>
    <w:rsid w:val="002950F7"/>
    <w:rsid w:val="002F3807"/>
    <w:rsid w:val="003265B1"/>
    <w:rsid w:val="00331B65"/>
    <w:rsid w:val="003A293F"/>
    <w:rsid w:val="003C33AE"/>
    <w:rsid w:val="003F6E59"/>
    <w:rsid w:val="00401F1D"/>
    <w:rsid w:val="004157FE"/>
    <w:rsid w:val="00434FD8"/>
    <w:rsid w:val="004907C3"/>
    <w:rsid w:val="00492C27"/>
    <w:rsid w:val="00505E7A"/>
    <w:rsid w:val="00554F8C"/>
    <w:rsid w:val="00573DCF"/>
    <w:rsid w:val="0058048E"/>
    <w:rsid w:val="005A4333"/>
    <w:rsid w:val="005B6533"/>
    <w:rsid w:val="005D2DC3"/>
    <w:rsid w:val="005E6529"/>
    <w:rsid w:val="00650C89"/>
    <w:rsid w:val="006864F1"/>
    <w:rsid w:val="0073478F"/>
    <w:rsid w:val="0074037B"/>
    <w:rsid w:val="00797AA8"/>
    <w:rsid w:val="007A0254"/>
    <w:rsid w:val="007A4E62"/>
    <w:rsid w:val="007E6045"/>
    <w:rsid w:val="00826DC5"/>
    <w:rsid w:val="00865944"/>
    <w:rsid w:val="008D6930"/>
    <w:rsid w:val="008E186A"/>
    <w:rsid w:val="008E19B6"/>
    <w:rsid w:val="00983FCD"/>
    <w:rsid w:val="00985B88"/>
    <w:rsid w:val="009A4D14"/>
    <w:rsid w:val="009C0813"/>
    <w:rsid w:val="009F2883"/>
    <w:rsid w:val="00B075D2"/>
    <w:rsid w:val="00B12193"/>
    <w:rsid w:val="00B4780A"/>
    <w:rsid w:val="00B6484F"/>
    <w:rsid w:val="00B90806"/>
    <w:rsid w:val="00B92121"/>
    <w:rsid w:val="00B941A4"/>
    <w:rsid w:val="00BA2737"/>
    <w:rsid w:val="00BB6A26"/>
    <w:rsid w:val="00C95EF9"/>
    <w:rsid w:val="00CC0FAE"/>
    <w:rsid w:val="00CC32A7"/>
    <w:rsid w:val="00CC5DFA"/>
    <w:rsid w:val="00D12F88"/>
    <w:rsid w:val="00D175EF"/>
    <w:rsid w:val="00D36A8C"/>
    <w:rsid w:val="00D667B7"/>
    <w:rsid w:val="00D668B5"/>
    <w:rsid w:val="00DA3BCF"/>
    <w:rsid w:val="00DA4FC3"/>
    <w:rsid w:val="00E07044"/>
    <w:rsid w:val="00E208BF"/>
    <w:rsid w:val="00E27779"/>
    <w:rsid w:val="00E368F6"/>
    <w:rsid w:val="00E4246D"/>
    <w:rsid w:val="00E842DE"/>
    <w:rsid w:val="00E876E9"/>
    <w:rsid w:val="00EB253D"/>
    <w:rsid w:val="00EB375F"/>
    <w:rsid w:val="00F16F29"/>
    <w:rsid w:val="00F23F14"/>
    <w:rsid w:val="00F35DCE"/>
    <w:rsid w:val="00F36843"/>
    <w:rsid w:val="00F46CC7"/>
    <w:rsid w:val="00F64FB6"/>
    <w:rsid w:val="00F65AD6"/>
    <w:rsid w:val="00F87531"/>
    <w:rsid w:val="00F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7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7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9B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27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27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27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27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ibliografa">
    <w:name w:val="Bibliography"/>
    <w:basedOn w:val="Normal"/>
    <w:next w:val="Normal"/>
    <w:uiPriority w:val="37"/>
    <w:unhideWhenUsed/>
    <w:rsid w:val="00734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7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7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9B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27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27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27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27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ibliografa">
    <w:name w:val="Bibliography"/>
    <w:basedOn w:val="Normal"/>
    <w:next w:val="Normal"/>
    <w:uiPriority w:val="37"/>
    <w:unhideWhenUsed/>
    <w:rsid w:val="0073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>
  <b:Source>
    <b:Tag>Rap14</b:Tag>
    <b:SourceType>JournalArticle</b:SourceType>
    <b:Guid>{DBA30183-AF18-4FAC-BFC7-AB16D4119727}</b:Guid>
    <b:Author>
      <b:Author>
        <b:NameList>
          <b:Person>
            <b:Last>Rapella</b:Last>
            <b:First>L</b:First>
          </b:Person>
        </b:NameList>
      </b:Author>
    </b:Author>
    <b:Title>Factores de riesgo para el fracaso del destete en una pblación de pacientes con EPOCen ventilación mecánica prolongada</b:Title>
    <b:JournalName>Revista Americana de Medicina Respiratoria</b:JournalName>
    <b:Year>2014</b:Year>
    <b:Pages>232:243</b:Pages>
    <b:RefOrder>7</b:RefOrder>
  </b:Source>
  <b:Source>
    <b:Tag>San17</b:Tag>
    <b:SourceType>JournalArticle</b:SourceType>
    <b:Guid>{80C84A90-5D99-4D40-9383-94908933AD48}</b:Guid>
    <b:Author>
      <b:Author>
        <b:NameList>
          <b:Person>
            <b:Last>Sancho</b:Last>
            <b:First>Jesus</b:First>
          </b:Person>
        </b:NameList>
      </b:Author>
    </b:Author>
    <b:Title>Noninvasive ventilation during the weaning process in chronically critically ill patients</b:Title>
    <b:JournalName>ERJ Open Res</b:JournalName>
    <b:Year>2017</b:Year>
    <b:Pages>1:8</b:Pages>
    <b:RefOrder>1</b:RefOrder>
  </b:Source>
  <b:Source>
    <b:Tag>Sel11</b:Tag>
    <b:SourceType>JournalArticle</b:SourceType>
    <b:Guid>{E25FB8DB-0D78-44B9-9C92-B58FD97016CE}</b:Guid>
    <b:Author>
      <b:Author>
        <b:NameList>
          <b:Person>
            <b:Last>Sellares</b:Last>
            <b:First>Jacobo</b:First>
          </b:Person>
        </b:NameList>
      </b:Author>
    </b:Author>
    <b:Title>Predictors of prolonged weaning and survival during ventilator weaning in a respiratory ICU</b:Title>
    <b:JournalName>Intensive Care Medicine</b:JournalName>
    <b:Year>2011</b:Year>
    <b:Pages>775:784</b:Pages>
    <b:RefOrder>2</b:RefOrder>
  </b:Source>
  <b:Source>
    <b:Tag>Nin17</b:Tag>
    <b:SourceType>JournalArticle</b:SourceType>
    <b:Guid>{CCE81E6E-17EE-4C63-94E9-B8A1DDBCD633}</b:Guid>
    <b:Author>
      <b:Author>
        <b:NameList>
          <b:Person>
            <b:Last>Nin</b:Last>
            <b:First>N</b:First>
          </b:Person>
        </b:NameList>
      </b:Author>
    </b:Author>
    <b:Title>Severe hypercapnia and outcome of mechanically ventilated patients with moderate or severe acute respiratory distress syndrome</b:Title>
    <b:JournalName>Intensive Care Medicine</b:JournalName>
    <b:Year>2017</b:Year>
    <b:Pages>200:208</b:Pages>
    <b:RefOrder>3</b:RefOrder>
  </b:Source>
  <b:Source>
    <b:Tag>Gol99</b:Tag>
    <b:SourceType>JournalArticle</b:SourceType>
    <b:Guid>{52D34C8D-5B20-463E-9975-1FDD2B69A1DE}</b:Guid>
    <b:Author>
      <b:Author>
        <b:NameList>
          <b:Person>
            <b:Last>Goldberg</b:Last>
            <b:First>Allen</b:First>
          </b:Person>
        </b:NameList>
      </b:Author>
    </b:Author>
    <b:Title>Clinical Indications for Noninvasive Positive Pressure Ventilation in Chronic Respiratory Failure Due to Restrictive Lung Disease, COPD, and Nocturnal Hypoventilation—A Consensus Conference Report*</b:Title>
    <b:JournalName>Chest</b:JournalName>
    <b:Year>1999</b:Year>
    <b:Pages>521:534</b:Pages>
    <b:RefOrder>4</b:RefOrder>
  </b:Source>
  <b:Source>
    <b:Tag>Koh14</b:Tag>
    <b:SourceType>JournalArticle</b:SourceType>
    <b:Guid>{82E5C6C4-3EA0-4BFC-84A0-8C1EEC098244}</b:Guid>
    <b:Author>
      <b:Author>
        <b:NameList>
          <b:Person>
            <b:Last>Kohnlein</b:Last>
            <b:First>Thomas</b:First>
          </b:Person>
        </b:NameList>
      </b:Author>
    </b:Author>
    <b:Title>Non-invasive positive pressure ventilation for the treatment of severe stable chronic obstructive pulmonary disease: a prospective, multicentre, randomised, controlled clinical trial</b:Title>
    <b:JournalName>Lancet Respir Med</b:JournalName>
    <b:Year>2014</b:Year>
    <b:Pages>698:705</b:Pages>
    <b:RefOrder>5</b:RefOrder>
  </b:Source>
  <b:Source>
    <b:Tag>Gal14</b:Tag>
    <b:SourceType>JournalArticle</b:SourceType>
    <b:Guid>{1BE77101-CAC4-4BE6-96E1-2A3D038EFE0B}</b:Guid>
    <b:Author>
      <b:Author>
        <b:NameList>
          <b:Person>
            <b:Last>Galli</b:Last>
            <b:First>Jonathan</b:First>
          </b:Person>
        </b:NameList>
      </b:Author>
    </b:Author>
    <b:Title>Home non-invasive ventilation use following acute hypercapnic respiratory failure in COPD</b:Title>
    <b:JournalName>Respiratory Medicine</b:JournalName>
    <b:Year>2014</b:Year>
    <b:Pages>722:728</b:Pages>
    <b:RefOrder>6</b:RefOrder>
  </b:Source>
  <b:Source>
    <b:Tag>Gei16</b:Tag>
    <b:SourceType>JournalArticle</b:SourceType>
    <b:Guid>{20CF0587-54A6-4518-9E9E-0CFD0205EF6D}</b:Guid>
    <b:Author>
      <b:Author>
        <b:NameList>
          <b:Person>
            <b:Last>Geiseler</b:Last>
            <b:First>J</b:First>
          </b:Person>
        </b:NameList>
      </b:Author>
    </b:Author>
    <b:Title>Entwöhnung von dermechanischen Beatmung</b:Title>
    <b:JournalName>MedKlin IntensivmedNotfmed</b:JournalName>
    <b:Year>2016</b:Year>
    <b:Pages>208:214</b:Pages>
    <b:RefOrder>8</b:RefOrder>
  </b:Source>
</b:Sources>
</file>

<file path=customXml/itemProps1.xml><?xml version="1.0" encoding="utf-8"?>
<ds:datastoreItem xmlns:ds="http://schemas.openxmlformats.org/officeDocument/2006/customXml" ds:itemID="{DD1BB33B-C8E3-4E43-9BB6-A6ABBCE8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kinesiorespi</cp:lastModifiedBy>
  <cp:revision>2</cp:revision>
  <cp:lastPrinted>2017-03-11T21:37:00Z</cp:lastPrinted>
  <dcterms:created xsi:type="dcterms:W3CDTF">2017-03-23T14:05:00Z</dcterms:created>
  <dcterms:modified xsi:type="dcterms:W3CDTF">2017-03-23T14:05:00Z</dcterms:modified>
</cp:coreProperties>
</file>