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55B" w:rsidRPr="00CD5994" w:rsidRDefault="00D1255B" w:rsidP="00D1255B">
      <w:pPr>
        <w:pStyle w:val="Default"/>
        <w:rPr>
          <w:rFonts w:ascii="Calibri" w:hAnsi="Calibri"/>
          <w:sz w:val="22"/>
          <w:szCs w:val="22"/>
        </w:rPr>
      </w:pPr>
      <w:bookmarkStart w:id="0" w:name="_GoBack"/>
      <w:bookmarkEnd w:id="0"/>
    </w:p>
    <w:p w:rsidR="00D1255B" w:rsidRPr="00101901" w:rsidRDefault="00D1255B" w:rsidP="00CA4C45">
      <w:pPr>
        <w:pStyle w:val="Default"/>
        <w:jc w:val="center"/>
        <w:rPr>
          <w:rFonts w:ascii="Calibri" w:hAnsi="Calibri"/>
          <w:b/>
          <w:bCs/>
          <w:color w:val="auto"/>
          <w:sz w:val="22"/>
          <w:szCs w:val="22"/>
          <w:lang w:val="es-AR"/>
        </w:rPr>
      </w:pPr>
      <w:r w:rsidRPr="00101901">
        <w:rPr>
          <w:rFonts w:ascii="Calibri" w:hAnsi="Calibri"/>
          <w:b/>
          <w:bCs/>
          <w:color w:val="auto"/>
          <w:sz w:val="22"/>
          <w:szCs w:val="22"/>
          <w:lang w:val="es-AR"/>
        </w:rPr>
        <w:t xml:space="preserve">Enfermedad Pulmonar Obstructiva Crónica </w:t>
      </w:r>
      <w:r w:rsidR="005224B7" w:rsidRPr="00101901">
        <w:rPr>
          <w:rFonts w:ascii="Calibri" w:hAnsi="Calibri"/>
          <w:b/>
          <w:bCs/>
          <w:color w:val="auto"/>
          <w:sz w:val="22"/>
          <w:szCs w:val="22"/>
          <w:lang w:val="es-AR"/>
        </w:rPr>
        <w:t>y Síndrome Metabólico</w:t>
      </w:r>
    </w:p>
    <w:p w:rsidR="00601BBE" w:rsidRPr="00601BBE" w:rsidRDefault="00601BBE" w:rsidP="00D1255B">
      <w:pPr>
        <w:pStyle w:val="Default"/>
        <w:rPr>
          <w:rFonts w:ascii="Calibri" w:hAnsi="Calibri"/>
          <w:color w:val="FF0000"/>
          <w:sz w:val="22"/>
          <w:szCs w:val="22"/>
          <w:lang w:val="es-AR"/>
        </w:rPr>
      </w:pPr>
    </w:p>
    <w:p w:rsidR="00D1255B" w:rsidRPr="00CD5994" w:rsidRDefault="00D1255B" w:rsidP="00D1255B">
      <w:pPr>
        <w:pStyle w:val="Default"/>
        <w:rPr>
          <w:rFonts w:ascii="Calibri" w:hAnsi="Calibri"/>
          <w:sz w:val="22"/>
          <w:szCs w:val="22"/>
          <w:lang w:val="es-AR"/>
        </w:rPr>
      </w:pPr>
      <w:r w:rsidRPr="00CD5994">
        <w:rPr>
          <w:rFonts w:ascii="Calibri" w:hAnsi="Calibri"/>
          <w:b/>
          <w:bCs/>
          <w:sz w:val="22"/>
          <w:szCs w:val="22"/>
          <w:lang w:val="es-AR"/>
        </w:rPr>
        <w:t xml:space="preserve">Eduardo Giugno </w:t>
      </w:r>
    </w:p>
    <w:p w:rsidR="00601BBE" w:rsidRDefault="00601BBE" w:rsidP="00D1255B">
      <w:pPr>
        <w:pStyle w:val="Default"/>
        <w:rPr>
          <w:rFonts w:ascii="Calibri" w:hAnsi="Calibri"/>
          <w:b/>
          <w:sz w:val="22"/>
          <w:szCs w:val="22"/>
          <w:lang w:val="es-AR"/>
        </w:rPr>
      </w:pPr>
      <w:r w:rsidRPr="00601BBE">
        <w:rPr>
          <w:rFonts w:ascii="Calibri" w:hAnsi="Calibri"/>
          <w:b/>
          <w:sz w:val="22"/>
          <w:szCs w:val="22"/>
          <w:lang w:val="es-AR"/>
        </w:rPr>
        <w:t xml:space="preserve">María Inés </w:t>
      </w:r>
      <w:proofErr w:type="spellStart"/>
      <w:r>
        <w:rPr>
          <w:rFonts w:ascii="Calibri" w:hAnsi="Calibri"/>
          <w:b/>
          <w:sz w:val="22"/>
          <w:szCs w:val="22"/>
          <w:lang w:val="es-AR"/>
        </w:rPr>
        <w:t>Medí</w:t>
      </w:r>
      <w:r w:rsidRPr="00601BBE">
        <w:rPr>
          <w:rFonts w:ascii="Calibri" w:hAnsi="Calibri"/>
          <w:b/>
          <w:sz w:val="22"/>
          <w:szCs w:val="22"/>
          <w:lang w:val="es-AR"/>
        </w:rPr>
        <w:t>n</w:t>
      </w:r>
      <w:proofErr w:type="spellEnd"/>
    </w:p>
    <w:p w:rsidR="00601BBE" w:rsidRDefault="00601BBE" w:rsidP="00D1255B">
      <w:pPr>
        <w:pStyle w:val="Default"/>
        <w:rPr>
          <w:rFonts w:ascii="Calibri" w:hAnsi="Calibri"/>
          <w:b/>
          <w:sz w:val="22"/>
          <w:szCs w:val="22"/>
          <w:lang w:val="es-AR"/>
        </w:rPr>
      </w:pPr>
      <w:r>
        <w:rPr>
          <w:rFonts w:ascii="Calibri" w:hAnsi="Calibri"/>
          <w:b/>
          <w:sz w:val="22"/>
          <w:szCs w:val="22"/>
          <w:lang w:val="es-AR"/>
        </w:rPr>
        <w:t xml:space="preserve">Orlando </w:t>
      </w:r>
      <w:proofErr w:type="spellStart"/>
      <w:r>
        <w:rPr>
          <w:rFonts w:ascii="Calibri" w:hAnsi="Calibri"/>
          <w:b/>
          <w:sz w:val="22"/>
          <w:szCs w:val="22"/>
          <w:lang w:val="es-AR"/>
        </w:rPr>
        <w:t>Lopez</w:t>
      </w:r>
      <w:proofErr w:type="spellEnd"/>
      <w:r w:rsidR="00101901">
        <w:rPr>
          <w:rFonts w:ascii="Calibri" w:hAnsi="Calibri"/>
          <w:b/>
          <w:sz w:val="22"/>
          <w:szCs w:val="22"/>
          <w:lang w:val="es-AR"/>
        </w:rPr>
        <w:t xml:space="preserve"> </w:t>
      </w:r>
      <w:proofErr w:type="spellStart"/>
      <w:r>
        <w:rPr>
          <w:rFonts w:ascii="Calibri" w:hAnsi="Calibri"/>
          <w:b/>
          <w:sz w:val="22"/>
          <w:szCs w:val="22"/>
          <w:lang w:val="es-AR"/>
        </w:rPr>
        <w:t>Jové</w:t>
      </w:r>
      <w:proofErr w:type="spellEnd"/>
    </w:p>
    <w:p w:rsidR="00601BBE" w:rsidRDefault="00601BBE" w:rsidP="00D1255B">
      <w:pPr>
        <w:pStyle w:val="Default"/>
        <w:rPr>
          <w:rFonts w:ascii="Calibri" w:hAnsi="Calibri"/>
          <w:b/>
          <w:sz w:val="22"/>
          <w:szCs w:val="22"/>
          <w:lang w:val="es-AR"/>
        </w:rPr>
      </w:pPr>
      <w:r>
        <w:rPr>
          <w:rFonts w:ascii="Calibri" w:hAnsi="Calibri"/>
          <w:b/>
          <w:sz w:val="22"/>
          <w:szCs w:val="22"/>
          <w:lang w:val="es-AR"/>
        </w:rPr>
        <w:t xml:space="preserve">Gabriel </w:t>
      </w:r>
      <w:proofErr w:type="spellStart"/>
      <w:r>
        <w:rPr>
          <w:rFonts w:ascii="Calibri" w:hAnsi="Calibri"/>
          <w:b/>
          <w:sz w:val="22"/>
          <w:szCs w:val="22"/>
          <w:lang w:val="es-AR"/>
        </w:rPr>
        <w:t>Tabaj</w:t>
      </w:r>
      <w:proofErr w:type="spellEnd"/>
    </w:p>
    <w:p w:rsidR="00D1255B" w:rsidRDefault="00D1255B" w:rsidP="00D1255B">
      <w:pPr>
        <w:pStyle w:val="Default"/>
        <w:rPr>
          <w:rFonts w:ascii="Calibri" w:hAnsi="Calibri"/>
          <w:b/>
          <w:bCs/>
          <w:sz w:val="22"/>
          <w:szCs w:val="22"/>
          <w:lang w:val="es-AR"/>
        </w:rPr>
      </w:pPr>
      <w:r w:rsidRPr="00CD5994">
        <w:rPr>
          <w:rFonts w:ascii="Calibri" w:hAnsi="Calibri"/>
          <w:b/>
          <w:bCs/>
          <w:sz w:val="22"/>
          <w:szCs w:val="22"/>
          <w:lang w:val="es-AR"/>
        </w:rPr>
        <w:t>Lilian Cano</w:t>
      </w:r>
    </w:p>
    <w:p w:rsidR="00601BBE" w:rsidRDefault="00134436" w:rsidP="00D1255B">
      <w:pPr>
        <w:pStyle w:val="Default"/>
        <w:rPr>
          <w:rFonts w:ascii="Calibri" w:hAnsi="Calibri"/>
          <w:b/>
          <w:bCs/>
          <w:sz w:val="22"/>
          <w:szCs w:val="22"/>
          <w:lang w:val="es-AR"/>
        </w:rPr>
      </w:pPr>
      <w:r>
        <w:rPr>
          <w:rFonts w:ascii="Calibri" w:hAnsi="Calibri"/>
          <w:b/>
          <w:bCs/>
          <w:sz w:val="22"/>
          <w:szCs w:val="22"/>
          <w:lang w:val="es-AR"/>
        </w:rPr>
        <w:t xml:space="preserve">Enrique </w:t>
      </w:r>
      <w:proofErr w:type="spellStart"/>
      <w:r>
        <w:rPr>
          <w:rFonts w:ascii="Calibri" w:hAnsi="Calibri"/>
          <w:b/>
          <w:bCs/>
          <w:sz w:val="22"/>
          <w:szCs w:val="22"/>
          <w:lang w:val="es-AR"/>
        </w:rPr>
        <w:t>Bari</w:t>
      </w:r>
      <w:r w:rsidR="00601BBE">
        <w:rPr>
          <w:rFonts w:ascii="Calibri" w:hAnsi="Calibri"/>
          <w:b/>
          <w:bCs/>
          <w:sz w:val="22"/>
          <w:szCs w:val="22"/>
          <w:lang w:val="es-AR"/>
        </w:rPr>
        <w:t>mboim</w:t>
      </w:r>
      <w:proofErr w:type="spellEnd"/>
    </w:p>
    <w:p w:rsidR="00101901" w:rsidRDefault="00101901" w:rsidP="00D1255B">
      <w:pPr>
        <w:pStyle w:val="Default"/>
        <w:rPr>
          <w:rFonts w:ascii="Calibri" w:hAnsi="Calibri"/>
          <w:b/>
          <w:bCs/>
          <w:sz w:val="22"/>
          <w:szCs w:val="22"/>
          <w:lang w:val="es-AR"/>
        </w:rPr>
      </w:pPr>
      <w:r>
        <w:rPr>
          <w:rFonts w:ascii="Calibri" w:hAnsi="Calibri"/>
          <w:b/>
          <w:bCs/>
          <w:sz w:val="22"/>
          <w:szCs w:val="22"/>
          <w:lang w:val="es-AR"/>
        </w:rPr>
        <w:t xml:space="preserve">Miguel </w:t>
      </w:r>
      <w:proofErr w:type="spellStart"/>
      <w:r>
        <w:rPr>
          <w:rFonts w:ascii="Calibri" w:hAnsi="Calibri"/>
          <w:b/>
          <w:bCs/>
          <w:sz w:val="22"/>
          <w:szCs w:val="22"/>
          <w:lang w:val="es-AR"/>
        </w:rPr>
        <w:t>Penizzotto</w:t>
      </w:r>
      <w:proofErr w:type="spellEnd"/>
    </w:p>
    <w:p w:rsidR="00601BBE" w:rsidRDefault="00601BBE" w:rsidP="00D1255B">
      <w:pPr>
        <w:pStyle w:val="Default"/>
        <w:rPr>
          <w:rFonts w:ascii="Calibri" w:hAnsi="Calibri"/>
          <w:b/>
          <w:bCs/>
          <w:sz w:val="22"/>
          <w:szCs w:val="22"/>
          <w:lang w:val="es-AR"/>
        </w:rPr>
      </w:pPr>
      <w:r>
        <w:rPr>
          <w:rFonts w:ascii="Calibri" w:hAnsi="Calibri"/>
          <w:b/>
          <w:bCs/>
          <w:sz w:val="22"/>
          <w:szCs w:val="22"/>
          <w:lang w:val="es-AR"/>
        </w:rPr>
        <w:t xml:space="preserve">Daniel </w:t>
      </w:r>
      <w:proofErr w:type="spellStart"/>
      <w:r>
        <w:rPr>
          <w:rFonts w:ascii="Calibri" w:hAnsi="Calibri"/>
          <w:b/>
          <w:bCs/>
          <w:sz w:val="22"/>
          <w:szCs w:val="22"/>
          <w:lang w:val="es-AR"/>
        </w:rPr>
        <w:t>Schonfeld</w:t>
      </w:r>
      <w:proofErr w:type="spellEnd"/>
    </w:p>
    <w:p w:rsidR="00601BBE" w:rsidRDefault="00601BBE" w:rsidP="00D1255B">
      <w:pPr>
        <w:pStyle w:val="Default"/>
        <w:rPr>
          <w:rFonts w:ascii="Calibri" w:hAnsi="Calibri"/>
          <w:b/>
          <w:bCs/>
          <w:sz w:val="22"/>
          <w:szCs w:val="22"/>
          <w:lang w:val="es-AR"/>
        </w:rPr>
      </w:pPr>
      <w:r>
        <w:rPr>
          <w:rFonts w:ascii="Calibri" w:hAnsi="Calibri"/>
          <w:b/>
          <w:bCs/>
          <w:sz w:val="22"/>
          <w:szCs w:val="22"/>
          <w:lang w:val="es-AR"/>
        </w:rPr>
        <w:t>Eva López</w:t>
      </w:r>
      <w:r w:rsidR="00766CC0">
        <w:rPr>
          <w:rFonts w:ascii="Calibri" w:hAnsi="Calibri"/>
          <w:b/>
          <w:bCs/>
          <w:sz w:val="22"/>
          <w:szCs w:val="22"/>
          <w:lang w:val="es-AR"/>
        </w:rPr>
        <w:t xml:space="preserve"> González</w:t>
      </w:r>
      <w:r>
        <w:rPr>
          <w:rFonts w:ascii="Calibri" w:hAnsi="Calibri"/>
          <w:b/>
          <w:bCs/>
          <w:sz w:val="22"/>
          <w:szCs w:val="22"/>
          <w:lang w:val="es-AR"/>
        </w:rPr>
        <w:t xml:space="preserve"> ( Sociedad Argentina de Diabetes)</w:t>
      </w:r>
    </w:p>
    <w:p w:rsidR="00601BBE" w:rsidRDefault="00601BBE" w:rsidP="00D1255B">
      <w:pPr>
        <w:pStyle w:val="Default"/>
        <w:rPr>
          <w:rFonts w:ascii="Calibri" w:hAnsi="Calibri"/>
          <w:sz w:val="22"/>
          <w:szCs w:val="22"/>
          <w:lang w:val="es-AR"/>
        </w:rPr>
      </w:pPr>
    </w:p>
    <w:p w:rsidR="00D1255B" w:rsidRPr="00CD5994" w:rsidRDefault="00D1255B" w:rsidP="00101901">
      <w:pPr>
        <w:pStyle w:val="Default"/>
        <w:spacing w:line="276" w:lineRule="auto"/>
        <w:rPr>
          <w:rFonts w:ascii="Calibri" w:hAnsi="Calibri"/>
          <w:sz w:val="22"/>
          <w:szCs w:val="22"/>
          <w:lang w:val="es-AR"/>
        </w:rPr>
      </w:pPr>
      <w:r w:rsidRPr="00CD5994">
        <w:rPr>
          <w:rFonts w:ascii="Calibri" w:hAnsi="Calibri"/>
          <w:b/>
          <w:bCs/>
          <w:sz w:val="22"/>
          <w:szCs w:val="22"/>
          <w:lang w:val="es-AR"/>
        </w:rPr>
        <w:t xml:space="preserve">Objetivos </w:t>
      </w:r>
    </w:p>
    <w:p w:rsidR="00D1255B" w:rsidRPr="00CD5994" w:rsidRDefault="00D1255B" w:rsidP="00101901">
      <w:pPr>
        <w:pStyle w:val="Default"/>
        <w:numPr>
          <w:ilvl w:val="0"/>
          <w:numId w:val="9"/>
        </w:numPr>
        <w:spacing w:after="27" w:line="276" w:lineRule="auto"/>
        <w:rPr>
          <w:rFonts w:ascii="Calibri" w:hAnsi="Calibri"/>
          <w:sz w:val="22"/>
          <w:szCs w:val="22"/>
          <w:lang w:val="es-AR"/>
        </w:rPr>
      </w:pPr>
      <w:r w:rsidRPr="00CD5994">
        <w:rPr>
          <w:rFonts w:ascii="Calibri" w:hAnsi="Calibri"/>
          <w:sz w:val="22"/>
          <w:szCs w:val="22"/>
          <w:lang w:val="es-AR"/>
        </w:rPr>
        <w:t xml:space="preserve">Definir la enfermedad pulmonar obstructiva crónica (EPOC) </w:t>
      </w:r>
    </w:p>
    <w:p w:rsidR="00D1255B" w:rsidRPr="00CD5994" w:rsidRDefault="00D1255B" w:rsidP="00101901">
      <w:pPr>
        <w:pStyle w:val="Default"/>
        <w:numPr>
          <w:ilvl w:val="0"/>
          <w:numId w:val="9"/>
        </w:numPr>
        <w:spacing w:after="27" w:line="276" w:lineRule="auto"/>
        <w:rPr>
          <w:rFonts w:ascii="Calibri" w:hAnsi="Calibri"/>
          <w:sz w:val="22"/>
          <w:szCs w:val="22"/>
          <w:lang w:val="es-AR"/>
        </w:rPr>
      </w:pPr>
      <w:r w:rsidRPr="00CD5994">
        <w:rPr>
          <w:rFonts w:ascii="Calibri" w:hAnsi="Calibri"/>
          <w:sz w:val="22"/>
          <w:szCs w:val="22"/>
          <w:lang w:val="es-AR"/>
        </w:rPr>
        <w:t xml:space="preserve">Definir el síndrome metabólico </w:t>
      </w:r>
    </w:p>
    <w:p w:rsidR="00D1255B" w:rsidRPr="00CD5994" w:rsidRDefault="00D1255B" w:rsidP="00101901">
      <w:pPr>
        <w:pStyle w:val="Default"/>
        <w:numPr>
          <w:ilvl w:val="0"/>
          <w:numId w:val="9"/>
        </w:numPr>
        <w:spacing w:after="27" w:line="276" w:lineRule="auto"/>
        <w:rPr>
          <w:rFonts w:ascii="Calibri" w:hAnsi="Calibri"/>
          <w:sz w:val="22"/>
          <w:szCs w:val="22"/>
          <w:lang w:val="es-AR"/>
        </w:rPr>
      </w:pPr>
      <w:r w:rsidRPr="00CD5994">
        <w:rPr>
          <w:rFonts w:ascii="Calibri" w:hAnsi="Calibri"/>
          <w:sz w:val="22"/>
          <w:szCs w:val="22"/>
          <w:lang w:val="es-AR"/>
        </w:rPr>
        <w:t xml:space="preserve">Revisar los mecanismos inflamatorios implicados en estos trastornos </w:t>
      </w:r>
    </w:p>
    <w:p w:rsidR="00D1255B" w:rsidRPr="00CD5994" w:rsidRDefault="00D1255B" w:rsidP="00101901">
      <w:pPr>
        <w:pStyle w:val="Default"/>
        <w:numPr>
          <w:ilvl w:val="0"/>
          <w:numId w:val="9"/>
        </w:numPr>
        <w:spacing w:after="27" w:line="276" w:lineRule="auto"/>
        <w:rPr>
          <w:rFonts w:ascii="Calibri" w:hAnsi="Calibri"/>
          <w:sz w:val="22"/>
          <w:szCs w:val="22"/>
          <w:lang w:val="es-AR"/>
        </w:rPr>
      </w:pPr>
      <w:r w:rsidRPr="00CD5994">
        <w:rPr>
          <w:rFonts w:ascii="Calibri" w:hAnsi="Calibri"/>
          <w:sz w:val="22"/>
          <w:szCs w:val="22"/>
          <w:lang w:val="es-AR"/>
        </w:rPr>
        <w:t xml:space="preserve">Delinear las bases de la evaluación clínica y tratamiento mediante la ilustración de un caso clínico problema </w:t>
      </w:r>
    </w:p>
    <w:p w:rsidR="00D1255B" w:rsidRPr="00CD5994" w:rsidRDefault="00601BBE" w:rsidP="00101901">
      <w:pPr>
        <w:pStyle w:val="Default"/>
        <w:numPr>
          <w:ilvl w:val="0"/>
          <w:numId w:val="9"/>
        </w:numPr>
        <w:spacing w:line="276" w:lineRule="auto"/>
        <w:rPr>
          <w:rFonts w:ascii="Calibri" w:hAnsi="Calibri"/>
          <w:sz w:val="22"/>
          <w:szCs w:val="22"/>
          <w:lang w:val="es-AR"/>
        </w:rPr>
      </w:pPr>
      <w:r>
        <w:rPr>
          <w:rFonts w:ascii="Calibri" w:hAnsi="Calibri"/>
          <w:sz w:val="22"/>
          <w:szCs w:val="22"/>
          <w:lang w:val="es-AR"/>
        </w:rPr>
        <w:t xml:space="preserve">En los pacientes con EPOC identificar el </w:t>
      </w:r>
      <w:r w:rsidR="00D1255B" w:rsidRPr="00CD5994">
        <w:rPr>
          <w:rFonts w:ascii="Calibri" w:hAnsi="Calibri"/>
          <w:sz w:val="22"/>
          <w:szCs w:val="22"/>
          <w:lang w:val="es-AR"/>
        </w:rPr>
        <w:t xml:space="preserve"> alto ri</w:t>
      </w:r>
      <w:r>
        <w:rPr>
          <w:rFonts w:ascii="Calibri" w:hAnsi="Calibri"/>
          <w:sz w:val="22"/>
          <w:szCs w:val="22"/>
          <w:lang w:val="es-AR"/>
        </w:rPr>
        <w:t xml:space="preserve">esgo del síndrome metabólico </w:t>
      </w:r>
    </w:p>
    <w:p w:rsidR="00D1255B" w:rsidRPr="00CD5994" w:rsidRDefault="00D1255B" w:rsidP="00101901">
      <w:pPr>
        <w:pStyle w:val="Default"/>
        <w:spacing w:line="276" w:lineRule="auto"/>
        <w:rPr>
          <w:rFonts w:ascii="Calibri" w:hAnsi="Calibri"/>
          <w:b/>
          <w:bCs/>
          <w:sz w:val="22"/>
          <w:szCs w:val="22"/>
          <w:lang w:val="es-AR"/>
        </w:rPr>
      </w:pPr>
    </w:p>
    <w:p w:rsidR="00D1255B" w:rsidRPr="00CD5994" w:rsidRDefault="00D1255B" w:rsidP="00101901">
      <w:pPr>
        <w:pStyle w:val="Default"/>
        <w:spacing w:line="276" w:lineRule="auto"/>
        <w:rPr>
          <w:rFonts w:ascii="Calibri" w:hAnsi="Calibri"/>
          <w:b/>
          <w:bCs/>
          <w:sz w:val="22"/>
          <w:szCs w:val="22"/>
          <w:lang w:val="es-AR"/>
        </w:rPr>
      </w:pPr>
    </w:p>
    <w:p w:rsidR="00D1255B" w:rsidRPr="00CD5994" w:rsidRDefault="00D1255B" w:rsidP="00101901">
      <w:pPr>
        <w:pStyle w:val="Default"/>
        <w:spacing w:line="276" w:lineRule="auto"/>
        <w:rPr>
          <w:rFonts w:ascii="Calibri" w:hAnsi="Calibri"/>
          <w:b/>
          <w:bCs/>
          <w:sz w:val="22"/>
          <w:szCs w:val="22"/>
          <w:lang w:val="es-AR"/>
        </w:rPr>
      </w:pPr>
      <w:r w:rsidRPr="00CD5994">
        <w:rPr>
          <w:rFonts w:ascii="Calibri" w:hAnsi="Calibri"/>
          <w:b/>
          <w:bCs/>
          <w:sz w:val="22"/>
          <w:szCs w:val="22"/>
          <w:lang w:val="es-AR"/>
        </w:rPr>
        <w:t>Introducción</w:t>
      </w:r>
    </w:p>
    <w:p w:rsidR="00F50A2F" w:rsidRPr="00CD5994" w:rsidRDefault="00F50A2F" w:rsidP="00101901">
      <w:pPr>
        <w:pStyle w:val="Default"/>
        <w:spacing w:line="276" w:lineRule="auto"/>
        <w:rPr>
          <w:rFonts w:ascii="Calibri" w:hAnsi="Calibri"/>
          <w:bCs/>
          <w:sz w:val="22"/>
          <w:szCs w:val="22"/>
          <w:lang w:val="es-AR"/>
        </w:rPr>
      </w:pPr>
    </w:p>
    <w:p w:rsidR="00D1255B" w:rsidRPr="00CD5994" w:rsidRDefault="00D1255B" w:rsidP="00101901">
      <w:pPr>
        <w:pStyle w:val="Default"/>
        <w:spacing w:line="276" w:lineRule="auto"/>
        <w:jc w:val="both"/>
        <w:rPr>
          <w:rFonts w:ascii="Calibri" w:hAnsi="Calibri"/>
          <w:sz w:val="22"/>
          <w:szCs w:val="22"/>
          <w:lang w:val="es-AR"/>
        </w:rPr>
      </w:pPr>
      <w:r w:rsidRPr="00CD5994">
        <w:rPr>
          <w:rFonts w:ascii="Calibri" w:hAnsi="Calibri"/>
          <w:sz w:val="22"/>
          <w:szCs w:val="22"/>
          <w:lang w:val="es-AR"/>
        </w:rPr>
        <w:t xml:space="preserve">La enfermedad pulmonar obstructiva crónica (EPOC) es una epidemia global en crecimiento. A pesar de la disminución en la mortalidad </w:t>
      </w:r>
      <w:r w:rsidR="00601BBE">
        <w:rPr>
          <w:rFonts w:ascii="Calibri" w:hAnsi="Calibri"/>
          <w:sz w:val="22"/>
          <w:szCs w:val="22"/>
          <w:lang w:val="es-AR"/>
        </w:rPr>
        <w:t xml:space="preserve"> en enfermedades crónicas, como las </w:t>
      </w:r>
      <w:r w:rsidRPr="00CD5994">
        <w:rPr>
          <w:rFonts w:ascii="Calibri" w:hAnsi="Calibri"/>
          <w:sz w:val="22"/>
          <w:szCs w:val="22"/>
          <w:lang w:val="es-AR"/>
        </w:rPr>
        <w:t xml:space="preserve"> enfermedades cardiovasculares</w:t>
      </w:r>
      <w:r w:rsidR="00601BBE">
        <w:rPr>
          <w:rFonts w:ascii="Calibri" w:hAnsi="Calibri"/>
          <w:sz w:val="22"/>
          <w:szCs w:val="22"/>
          <w:lang w:val="es-AR"/>
        </w:rPr>
        <w:t>, metabólicas</w:t>
      </w:r>
      <w:r w:rsidR="0087735E">
        <w:rPr>
          <w:rFonts w:ascii="Calibri" w:hAnsi="Calibri"/>
          <w:sz w:val="22"/>
          <w:szCs w:val="22"/>
          <w:lang w:val="es-AR"/>
        </w:rPr>
        <w:t xml:space="preserve"> y neoplasias</w:t>
      </w:r>
      <w:r w:rsidRPr="00CD5994">
        <w:rPr>
          <w:rFonts w:ascii="Calibri" w:hAnsi="Calibri"/>
          <w:sz w:val="22"/>
          <w:szCs w:val="22"/>
          <w:lang w:val="es-AR"/>
        </w:rPr>
        <w:t xml:space="preserve">, se observa un aumento en la morbilidad y mortalidad relacionada con la EPOC, </w:t>
      </w:r>
      <w:r w:rsidR="00F50A2F" w:rsidRPr="00CD5994">
        <w:rPr>
          <w:rFonts w:ascii="Calibri" w:hAnsi="Calibri"/>
          <w:sz w:val="22"/>
          <w:szCs w:val="22"/>
          <w:lang w:val="es-AR"/>
        </w:rPr>
        <w:t>debido a la continua exposición a factores de riesgo, como el taba</w:t>
      </w:r>
      <w:r w:rsidR="00601BBE">
        <w:rPr>
          <w:rFonts w:ascii="Calibri" w:hAnsi="Calibri"/>
          <w:sz w:val="22"/>
          <w:szCs w:val="22"/>
          <w:lang w:val="es-AR"/>
        </w:rPr>
        <w:t>co</w:t>
      </w:r>
      <w:r w:rsidR="00F50A2F" w:rsidRPr="00CD5994">
        <w:rPr>
          <w:rFonts w:ascii="Calibri" w:hAnsi="Calibri"/>
          <w:sz w:val="22"/>
          <w:szCs w:val="22"/>
          <w:lang w:val="es-AR"/>
        </w:rPr>
        <w:t xml:space="preserve">, </w:t>
      </w:r>
      <w:r w:rsidRPr="00CD5994">
        <w:rPr>
          <w:rFonts w:ascii="Calibri" w:hAnsi="Calibri"/>
          <w:sz w:val="22"/>
          <w:szCs w:val="22"/>
          <w:lang w:val="es-AR"/>
        </w:rPr>
        <w:t xml:space="preserve">así como </w:t>
      </w:r>
      <w:r w:rsidR="00601BBE">
        <w:rPr>
          <w:rFonts w:ascii="Calibri" w:hAnsi="Calibri"/>
          <w:sz w:val="22"/>
          <w:szCs w:val="22"/>
          <w:lang w:val="es-AR"/>
        </w:rPr>
        <w:t xml:space="preserve">el </w:t>
      </w:r>
      <w:r w:rsidRPr="00CD5994">
        <w:rPr>
          <w:rFonts w:ascii="Calibri" w:hAnsi="Calibri"/>
          <w:sz w:val="22"/>
          <w:szCs w:val="22"/>
          <w:lang w:val="es-AR"/>
        </w:rPr>
        <w:t>aument</w:t>
      </w:r>
      <w:r w:rsidR="00601BBE">
        <w:rPr>
          <w:rFonts w:ascii="Calibri" w:hAnsi="Calibri"/>
          <w:sz w:val="22"/>
          <w:szCs w:val="22"/>
          <w:lang w:val="es-AR"/>
        </w:rPr>
        <w:t>od</w:t>
      </w:r>
      <w:r w:rsidRPr="00CD5994">
        <w:rPr>
          <w:rFonts w:ascii="Calibri" w:hAnsi="Calibri"/>
          <w:sz w:val="22"/>
          <w:szCs w:val="22"/>
          <w:lang w:val="es-AR"/>
        </w:rPr>
        <w:t xml:space="preserve">el envejecimiento poblacional. </w:t>
      </w:r>
    </w:p>
    <w:p w:rsidR="00D1255B" w:rsidRPr="00CD5994" w:rsidRDefault="00A63117" w:rsidP="00101901">
      <w:pPr>
        <w:pStyle w:val="Default"/>
        <w:spacing w:line="276" w:lineRule="auto"/>
        <w:jc w:val="both"/>
        <w:rPr>
          <w:rFonts w:ascii="Calibri" w:hAnsi="Calibri"/>
          <w:sz w:val="22"/>
          <w:szCs w:val="22"/>
          <w:lang w:val="es-AR"/>
        </w:rPr>
      </w:pPr>
      <w:r>
        <w:rPr>
          <w:rFonts w:ascii="Calibri" w:hAnsi="Calibri"/>
          <w:sz w:val="22"/>
          <w:szCs w:val="22"/>
          <w:lang w:val="es-AR"/>
        </w:rPr>
        <w:t xml:space="preserve">En la </w:t>
      </w:r>
      <w:r w:rsidR="00D1255B" w:rsidRPr="00CD5994">
        <w:rPr>
          <w:rFonts w:ascii="Calibri" w:hAnsi="Calibri"/>
          <w:sz w:val="22"/>
          <w:szCs w:val="22"/>
          <w:lang w:val="es-AR"/>
        </w:rPr>
        <w:t xml:space="preserve"> EPOC, existe un aumento del reconocimiento que </w:t>
      </w:r>
      <w:r w:rsidR="00601BBE">
        <w:rPr>
          <w:rFonts w:ascii="Calibri" w:hAnsi="Calibri"/>
          <w:sz w:val="22"/>
          <w:szCs w:val="22"/>
          <w:lang w:val="es-AR"/>
        </w:rPr>
        <w:t xml:space="preserve">afecta </w:t>
      </w:r>
      <w:r w:rsidR="00D1255B" w:rsidRPr="00CD5994">
        <w:rPr>
          <w:rFonts w:ascii="Calibri" w:hAnsi="Calibri"/>
          <w:sz w:val="22"/>
          <w:szCs w:val="22"/>
          <w:lang w:val="es-AR"/>
        </w:rPr>
        <w:t xml:space="preserve">más allá de los pulmones y que </w:t>
      </w:r>
      <w:r w:rsidR="00601BBE">
        <w:rPr>
          <w:rFonts w:ascii="Calibri" w:hAnsi="Calibri"/>
          <w:sz w:val="22"/>
          <w:szCs w:val="22"/>
          <w:lang w:val="es-AR"/>
        </w:rPr>
        <w:t xml:space="preserve">presenta </w:t>
      </w:r>
      <w:r w:rsidR="00D1255B" w:rsidRPr="00CD5994">
        <w:rPr>
          <w:rFonts w:ascii="Calibri" w:hAnsi="Calibri"/>
          <w:sz w:val="22"/>
          <w:szCs w:val="22"/>
          <w:lang w:val="es-AR"/>
        </w:rPr>
        <w:t xml:space="preserve"> comorbilidades que impactan directamente sobre la mortalidad. </w:t>
      </w:r>
    </w:p>
    <w:p w:rsidR="00D1255B" w:rsidRPr="00CD5994" w:rsidRDefault="00D1255B" w:rsidP="00101901">
      <w:pPr>
        <w:pStyle w:val="Default"/>
        <w:spacing w:line="276" w:lineRule="auto"/>
        <w:jc w:val="both"/>
        <w:rPr>
          <w:rFonts w:ascii="Calibri" w:hAnsi="Calibri"/>
          <w:sz w:val="22"/>
          <w:szCs w:val="22"/>
          <w:lang w:val="es-AR"/>
        </w:rPr>
      </w:pPr>
      <w:r w:rsidRPr="00CD5994">
        <w:rPr>
          <w:rFonts w:ascii="Calibri" w:hAnsi="Calibri"/>
          <w:sz w:val="22"/>
          <w:szCs w:val="22"/>
          <w:lang w:val="es-AR"/>
        </w:rPr>
        <w:t xml:space="preserve">La EPOC se </w:t>
      </w:r>
      <w:r w:rsidR="00601BBE">
        <w:rPr>
          <w:rFonts w:ascii="Calibri" w:hAnsi="Calibri"/>
          <w:sz w:val="22"/>
          <w:szCs w:val="22"/>
          <w:lang w:val="es-AR"/>
        </w:rPr>
        <w:t>asocia</w:t>
      </w:r>
      <w:r w:rsidRPr="00CD5994">
        <w:rPr>
          <w:rFonts w:ascii="Calibri" w:hAnsi="Calibri"/>
          <w:sz w:val="22"/>
          <w:szCs w:val="22"/>
          <w:lang w:val="es-AR"/>
        </w:rPr>
        <w:t xml:space="preserve"> con otras enfermedades como las cardiovasculares, osteoporosis, diabetes y síndrome metabólico (SM), siendo su presencia </w:t>
      </w:r>
      <w:r w:rsidR="00FC4BAC">
        <w:rPr>
          <w:rFonts w:ascii="Calibri" w:hAnsi="Calibri"/>
          <w:sz w:val="22"/>
          <w:szCs w:val="22"/>
          <w:lang w:val="es-AR"/>
        </w:rPr>
        <w:t>relevante</w:t>
      </w:r>
      <w:r w:rsidR="00A63117">
        <w:rPr>
          <w:rFonts w:ascii="Calibri" w:hAnsi="Calibri"/>
          <w:sz w:val="22"/>
          <w:szCs w:val="22"/>
          <w:lang w:val="es-AR"/>
        </w:rPr>
        <w:t>,</w:t>
      </w:r>
      <w:r w:rsidRPr="00CD5994">
        <w:rPr>
          <w:rFonts w:ascii="Calibri" w:hAnsi="Calibri"/>
          <w:sz w:val="22"/>
          <w:szCs w:val="22"/>
          <w:lang w:val="es-AR"/>
        </w:rPr>
        <w:t xml:space="preserve"> d</w:t>
      </w:r>
      <w:r w:rsidR="00FC4BAC">
        <w:rPr>
          <w:rFonts w:ascii="Calibri" w:hAnsi="Calibri"/>
          <w:sz w:val="22"/>
          <w:szCs w:val="22"/>
          <w:lang w:val="es-AR"/>
        </w:rPr>
        <w:t xml:space="preserve">onde </w:t>
      </w:r>
      <w:r w:rsidRPr="00CD5994">
        <w:rPr>
          <w:rFonts w:ascii="Calibri" w:hAnsi="Calibri"/>
          <w:sz w:val="22"/>
          <w:szCs w:val="22"/>
          <w:lang w:val="es-AR"/>
        </w:rPr>
        <w:t xml:space="preserve"> los factores etiológicos comunes, como el tabaquismo, </w:t>
      </w:r>
      <w:r w:rsidR="00B913EA">
        <w:rPr>
          <w:rFonts w:ascii="Calibri" w:hAnsi="Calibri"/>
          <w:sz w:val="22"/>
          <w:szCs w:val="22"/>
          <w:lang w:val="es-AR"/>
        </w:rPr>
        <w:t xml:space="preserve">la inactividad física y el envejecimiento, </w:t>
      </w:r>
      <w:r w:rsidRPr="00CD5994">
        <w:rPr>
          <w:rFonts w:ascii="Calibri" w:hAnsi="Calibri"/>
          <w:sz w:val="22"/>
          <w:szCs w:val="22"/>
          <w:lang w:val="es-AR"/>
        </w:rPr>
        <w:t xml:space="preserve">sugiriendo </w:t>
      </w:r>
      <w:r w:rsidR="00B913EA">
        <w:rPr>
          <w:rFonts w:ascii="Calibri" w:hAnsi="Calibri"/>
          <w:sz w:val="22"/>
          <w:szCs w:val="22"/>
          <w:lang w:val="es-AR"/>
        </w:rPr>
        <w:t xml:space="preserve">una relación </w:t>
      </w:r>
      <w:r w:rsidRPr="00CD5994">
        <w:rPr>
          <w:rFonts w:ascii="Calibri" w:hAnsi="Calibri"/>
          <w:sz w:val="22"/>
          <w:szCs w:val="22"/>
          <w:lang w:val="es-AR"/>
        </w:rPr>
        <w:t xml:space="preserve">causal entre estas comorbilidades y los mecanismos fisiopatológicos de la EPOC. </w:t>
      </w:r>
    </w:p>
    <w:p w:rsidR="00764E45" w:rsidRPr="00CD5994" w:rsidRDefault="00764E45" w:rsidP="00101901">
      <w:pPr>
        <w:rPr>
          <w:lang w:val="es-AR"/>
        </w:rPr>
      </w:pPr>
    </w:p>
    <w:p w:rsidR="00D1255B" w:rsidRPr="0087735E" w:rsidRDefault="00D1255B" w:rsidP="00101901">
      <w:pPr>
        <w:pStyle w:val="Default"/>
        <w:spacing w:line="276" w:lineRule="auto"/>
        <w:rPr>
          <w:rFonts w:ascii="Calibri" w:hAnsi="Calibri"/>
          <w:sz w:val="22"/>
          <w:szCs w:val="22"/>
          <w:lang w:val="es-AR"/>
        </w:rPr>
      </w:pPr>
      <w:r w:rsidRPr="0087735E">
        <w:rPr>
          <w:rFonts w:ascii="Calibri" w:hAnsi="Calibri"/>
          <w:b/>
          <w:bCs/>
          <w:sz w:val="22"/>
          <w:szCs w:val="22"/>
          <w:lang w:val="es-AR"/>
        </w:rPr>
        <w:t>Definiciones</w:t>
      </w:r>
      <w:r w:rsidR="003D1533" w:rsidRPr="0087735E">
        <w:rPr>
          <w:rFonts w:ascii="Calibri" w:hAnsi="Calibri"/>
          <w:b/>
          <w:bCs/>
          <w:sz w:val="22"/>
          <w:szCs w:val="22"/>
          <w:lang w:val="es-AR"/>
        </w:rPr>
        <w:t xml:space="preserve"> y Generalidades</w:t>
      </w:r>
    </w:p>
    <w:p w:rsidR="00D1255B" w:rsidRPr="0087735E" w:rsidRDefault="00D1255B" w:rsidP="00101901">
      <w:pPr>
        <w:rPr>
          <w:b/>
          <w:bCs/>
          <w:lang w:val="es-AR"/>
        </w:rPr>
      </w:pPr>
      <w:r w:rsidRPr="0087735E">
        <w:rPr>
          <w:b/>
          <w:bCs/>
          <w:lang w:val="es-AR"/>
        </w:rPr>
        <w:t>EPOC</w:t>
      </w:r>
    </w:p>
    <w:p w:rsidR="00D1255B" w:rsidRPr="00CD5994" w:rsidRDefault="00D1255B" w:rsidP="00101901">
      <w:pPr>
        <w:jc w:val="both"/>
        <w:rPr>
          <w:lang w:val="es-AR"/>
        </w:rPr>
      </w:pPr>
      <w:r w:rsidRPr="00CD5994">
        <w:rPr>
          <w:lang w:val="es-ES"/>
        </w:rPr>
        <w:t>La EPOC es una enfermedad común, prevenible y tratable, caracterizada por limitación al flujo aéreo que es generalmente progresiva, persistente  y asociada con una mayor respuesta inflamatoria crónica de las vías respiratorias y los pulmones a partículas nocivas o gases</w:t>
      </w:r>
    </w:p>
    <w:p w:rsidR="00D1255B" w:rsidRPr="00CD5994" w:rsidRDefault="00D1255B" w:rsidP="00101901">
      <w:pPr>
        <w:jc w:val="both"/>
        <w:rPr>
          <w:lang w:val="es-ES"/>
        </w:rPr>
      </w:pPr>
      <w:r w:rsidRPr="00CD5994">
        <w:rPr>
          <w:lang w:val="es-ES"/>
        </w:rPr>
        <w:lastRenderedPageBreak/>
        <w:t>Las exacerbaciones y comorbilidades contribuyen a la severidad global de los pacientes individuales</w:t>
      </w:r>
      <w:r w:rsidR="00031F48" w:rsidRPr="00CD5994">
        <w:rPr>
          <w:lang w:val="es-ES"/>
        </w:rPr>
        <w:t>.</w:t>
      </w:r>
    </w:p>
    <w:p w:rsidR="00A85F17" w:rsidRPr="00CD5994" w:rsidRDefault="00A85F17" w:rsidP="00101901">
      <w:pPr>
        <w:jc w:val="both"/>
        <w:rPr>
          <w:lang w:val="es-AR"/>
        </w:rPr>
      </w:pPr>
      <w:r w:rsidRPr="00CD5994">
        <w:rPr>
          <w:lang w:val="es-AR"/>
        </w:rPr>
        <w:t>Un diagnóstico clínico de EPOC debe ser considerado en cualquier pacie</w:t>
      </w:r>
      <w:r w:rsidR="00031F48" w:rsidRPr="00CD5994">
        <w:rPr>
          <w:lang w:val="es-AR"/>
        </w:rPr>
        <w:t>nte</w:t>
      </w:r>
      <w:r w:rsidR="00A63117">
        <w:rPr>
          <w:lang w:val="es-AR"/>
        </w:rPr>
        <w:t xml:space="preserve"> mayor de 40 años</w:t>
      </w:r>
      <w:r w:rsidR="00031F48" w:rsidRPr="00CD5994">
        <w:rPr>
          <w:lang w:val="es-AR"/>
        </w:rPr>
        <w:t xml:space="preserve"> con disnea</w:t>
      </w:r>
      <w:r w:rsidR="00741D3A">
        <w:rPr>
          <w:lang w:val="es-AR"/>
        </w:rPr>
        <w:t xml:space="preserve"> crónica y progresiva que empeora con el ejercicio</w:t>
      </w:r>
      <w:r w:rsidR="00031F48" w:rsidRPr="00CD5994">
        <w:rPr>
          <w:lang w:val="es-AR"/>
        </w:rPr>
        <w:t>,</w:t>
      </w:r>
      <w:r w:rsidR="00741D3A" w:rsidRPr="00CD5994">
        <w:rPr>
          <w:lang w:val="es-AR"/>
        </w:rPr>
        <w:t>tos que puede ser intermitente e improductiva o expectoración crónica con producción de esputo que puede ser variable</w:t>
      </w:r>
      <w:r w:rsidRPr="00CD5994">
        <w:rPr>
          <w:lang w:val="es-AR"/>
        </w:rPr>
        <w:t>, y una historia de exposición a factores de riesgo para la enfermedad</w:t>
      </w:r>
      <w:r w:rsidR="00A63117">
        <w:rPr>
          <w:lang w:val="es-AR"/>
        </w:rPr>
        <w:t>.</w:t>
      </w:r>
    </w:p>
    <w:p w:rsidR="00031F48" w:rsidRPr="00CD5994" w:rsidRDefault="00A85F17" w:rsidP="00101901">
      <w:pPr>
        <w:jc w:val="both"/>
        <w:rPr>
          <w:lang w:val="es-AR"/>
        </w:rPr>
      </w:pPr>
      <w:r w:rsidRPr="00CD5994">
        <w:rPr>
          <w:lang w:val="es-AR"/>
        </w:rPr>
        <w:t xml:space="preserve">Se requiere una </w:t>
      </w:r>
      <w:proofErr w:type="spellStart"/>
      <w:r w:rsidRPr="00CD5994">
        <w:rPr>
          <w:lang w:val="es-AR"/>
        </w:rPr>
        <w:t>espirometría</w:t>
      </w:r>
      <w:proofErr w:type="spellEnd"/>
      <w:r w:rsidRPr="00CD5994">
        <w:rPr>
          <w:lang w:val="es-AR"/>
        </w:rPr>
        <w:t xml:space="preserve"> para realizar el diagnóstico; la presencia de un FEV</w:t>
      </w:r>
      <w:r w:rsidRPr="00CD5994">
        <w:rPr>
          <w:vertAlign w:val="subscript"/>
          <w:lang w:val="es-AR"/>
        </w:rPr>
        <w:t>1</w:t>
      </w:r>
      <w:r w:rsidRPr="00CD5994">
        <w:rPr>
          <w:lang w:val="es-AR"/>
        </w:rPr>
        <w:t xml:space="preserve"> / FVC </w:t>
      </w:r>
      <w:r w:rsidR="00FB27D9" w:rsidRPr="00CD5994">
        <w:rPr>
          <w:lang w:val="es-AR"/>
        </w:rPr>
        <w:t xml:space="preserve">≤ </w:t>
      </w:r>
      <w:r w:rsidRPr="00CD5994">
        <w:rPr>
          <w:lang w:val="es-AR"/>
        </w:rPr>
        <w:t>0,70 post BD confirma la presencia de limitación del flujo aéreo</w:t>
      </w:r>
      <w:r w:rsidR="00A63117">
        <w:rPr>
          <w:lang w:val="es-AR"/>
        </w:rPr>
        <w:t xml:space="preserve"> persistente y por lo tanto de</w:t>
      </w:r>
      <w:r w:rsidRPr="00CD5994">
        <w:rPr>
          <w:lang w:val="es-AR"/>
        </w:rPr>
        <w:t xml:space="preserve"> EPOC</w:t>
      </w:r>
      <w:r w:rsidR="00031F48" w:rsidRPr="00CD5994">
        <w:rPr>
          <w:lang w:val="es-AR"/>
        </w:rPr>
        <w:t>.</w:t>
      </w:r>
    </w:p>
    <w:p w:rsidR="00234080" w:rsidRDefault="00031F48" w:rsidP="00101901">
      <w:pPr>
        <w:jc w:val="both"/>
        <w:rPr>
          <w:lang w:val="es-AR"/>
        </w:rPr>
      </w:pPr>
      <w:r w:rsidRPr="00CD5994">
        <w:rPr>
          <w:lang w:val="es-AR"/>
        </w:rPr>
        <w:t xml:space="preserve">A la hora de </w:t>
      </w:r>
      <w:r w:rsidR="00222FAF" w:rsidRPr="00CD5994">
        <w:rPr>
          <w:lang w:val="es-AR"/>
        </w:rPr>
        <w:t>evaluar a un paciente con EPOC, debemos d</w:t>
      </w:r>
      <w:r w:rsidRPr="00CD5994">
        <w:rPr>
          <w:lang w:val="es-AR"/>
        </w:rPr>
        <w:t xml:space="preserve">eterminar la gravedad de la enfermedad, su impacto en el estado de salud y el riesgo de eventos futuros (por ejemplo, exacerbaciones) para </w:t>
      </w:r>
      <w:r w:rsidR="00222FAF" w:rsidRPr="00CD5994">
        <w:rPr>
          <w:lang w:val="es-AR"/>
        </w:rPr>
        <w:t>guiar la terapia.</w:t>
      </w:r>
    </w:p>
    <w:p w:rsidR="00031F48" w:rsidRPr="00CD5994" w:rsidRDefault="00234080" w:rsidP="00101901">
      <w:pPr>
        <w:jc w:val="both"/>
        <w:rPr>
          <w:lang w:val="es-AR"/>
        </w:rPr>
      </w:pPr>
      <w:r>
        <w:rPr>
          <w:lang w:val="es-AR"/>
        </w:rPr>
        <w:t>En la evaluación del paciente debemos considerar:</w:t>
      </w:r>
      <w:r w:rsidR="00101901">
        <w:rPr>
          <w:lang w:val="es-AR"/>
        </w:rPr>
        <w:t xml:space="preserve"> e</w:t>
      </w:r>
      <w:r>
        <w:rPr>
          <w:lang w:val="es-AR"/>
        </w:rPr>
        <w:t xml:space="preserve">l </w:t>
      </w:r>
      <w:r w:rsidR="00031F48" w:rsidRPr="00CD5994">
        <w:rPr>
          <w:lang w:val="es-AR"/>
        </w:rPr>
        <w:t>nivel actual de los síntomas</w:t>
      </w:r>
      <w:r w:rsidR="00101901">
        <w:rPr>
          <w:lang w:val="es-AR"/>
        </w:rPr>
        <w:t>, l</w:t>
      </w:r>
      <w:r w:rsidR="00031F48" w:rsidRPr="00CD5994">
        <w:rPr>
          <w:lang w:val="es-AR"/>
        </w:rPr>
        <w:t xml:space="preserve">a severidad de la anormalidad </w:t>
      </w:r>
      <w:proofErr w:type="spellStart"/>
      <w:r w:rsidR="00031F48" w:rsidRPr="00CD5994">
        <w:rPr>
          <w:lang w:val="es-AR"/>
        </w:rPr>
        <w:t>espirométrica</w:t>
      </w:r>
      <w:proofErr w:type="spellEnd"/>
      <w:r w:rsidR="00101901">
        <w:rPr>
          <w:lang w:val="es-AR"/>
        </w:rPr>
        <w:t>, l</w:t>
      </w:r>
      <w:r>
        <w:rPr>
          <w:lang w:val="es-AR"/>
        </w:rPr>
        <w:t xml:space="preserve">a </w:t>
      </w:r>
      <w:r w:rsidR="00031F48" w:rsidRPr="00CD5994">
        <w:rPr>
          <w:lang w:val="es-AR"/>
        </w:rPr>
        <w:t>f</w:t>
      </w:r>
      <w:r w:rsidR="00101901">
        <w:rPr>
          <w:lang w:val="es-AR"/>
        </w:rPr>
        <w:t>recuencia de las exacerbaciones,  l</w:t>
      </w:r>
      <w:r>
        <w:rPr>
          <w:lang w:val="es-AR"/>
        </w:rPr>
        <w:t xml:space="preserve">a </w:t>
      </w:r>
      <w:r w:rsidR="00031F48" w:rsidRPr="00CD5994">
        <w:rPr>
          <w:lang w:val="es-AR"/>
        </w:rPr>
        <w:t xml:space="preserve">presencia de </w:t>
      </w:r>
      <w:proofErr w:type="spellStart"/>
      <w:r w:rsidR="00031F48" w:rsidRPr="00CD5994">
        <w:rPr>
          <w:lang w:val="es-AR"/>
        </w:rPr>
        <w:t>comorbilidades</w:t>
      </w:r>
      <w:proofErr w:type="spellEnd"/>
      <w:r w:rsidR="00222FAF" w:rsidRPr="00CD5994">
        <w:rPr>
          <w:lang w:val="es-AR"/>
        </w:rPr>
        <w:t>.</w:t>
      </w:r>
    </w:p>
    <w:p w:rsidR="00EA6035" w:rsidRPr="00CD5994" w:rsidRDefault="00EA6035" w:rsidP="00134436">
      <w:pPr>
        <w:jc w:val="both"/>
        <w:rPr>
          <w:lang w:val="es-AR"/>
        </w:rPr>
      </w:pPr>
      <w:r>
        <w:rPr>
          <w:lang w:val="es-AR"/>
        </w:rPr>
        <w:t>Si uno tiene en cuenta una evaluación multidimensional, es decir: síntomas, limitación del flujo aéreo, exacerbaciones</w:t>
      </w:r>
      <w:r w:rsidR="00E7374A">
        <w:rPr>
          <w:lang w:val="es-AR"/>
        </w:rPr>
        <w:t>, podemos clasificar a los pacientes en cuatro</w:t>
      </w:r>
      <w:r w:rsidR="00101901">
        <w:rPr>
          <w:lang w:val="es-AR"/>
        </w:rPr>
        <w:t xml:space="preserve"> grupos: A</w:t>
      </w:r>
      <w:proofErr w:type="gramStart"/>
      <w:r w:rsidR="00101901">
        <w:rPr>
          <w:lang w:val="es-AR"/>
        </w:rPr>
        <w:t>,B,C</w:t>
      </w:r>
      <w:proofErr w:type="gramEnd"/>
      <w:r w:rsidR="00101901">
        <w:rPr>
          <w:lang w:val="es-AR"/>
        </w:rPr>
        <w:t xml:space="preserve"> y D.</w:t>
      </w:r>
    </w:p>
    <w:p w:rsidR="00962E2B" w:rsidRDefault="00962E2B" w:rsidP="00134436">
      <w:pPr>
        <w:jc w:val="both"/>
        <w:rPr>
          <w:lang w:val="es-AR"/>
        </w:rPr>
      </w:pPr>
      <w:r>
        <w:rPr>
          <w:lang w:val="es-AR"/>
        </w:rPr>
        <w:t xml:space="preserve">La </w:t>
      </w:r>
      <w:r w:rsidRPr="00962E2B">
        <w:rPr>
          <w:lang w:val="es-AR"/>
        </w:rPr>
        <w:t xml:space="preserve">EPOC </w:t>
      </w:r>
      <w:r w:rsidR="00AE4024">
        <w:rPr>
          <w:lang w:val="es-AR"/>
        </w:rPr>
        <w:t xml:space="preserve">habitualmente </w:t>
      </w:r>
      <w:r w:rsidR="00B5291E">
        <w:rPr>
          <w:lang w:val="es-AR"/>
        </w:rPr>
        <w:t>presenta comorbilidades</w:t>
      </w:r>
      <w:r w:rsidRPr="00962E2B">
        <w:rPr>
          <w:lang w:val="es-AR"/>
        </w:rPr>
        <w:t xml:space="preserve"> que pueden tener un impacto significativo en el pronóstico. En general, la presencia de comorbilidades no debería alterar el tratamiento de la EPOC y </w:t>
      </w:r>
      <w:r w:rsidR="00AE4024">
        <w:rPr>
          <w:lang w:val="es-AR"/>
        </w:rPr>
        <w:t xml:space="preserve">estas </w:t>
      </w:r>
      <w:r w:rsidRPr="00962E2B">
        <w:rPr>
          <w:lang w:val="es-AR"/>
        </w:rPr>
        <w:t xml:space="preserve"> debe</w:t>
      </w:r>
      <w:r w:rsidR="00AE4024">
        <w:rPr>
          <w:lang w:val="es-AR"/>
        </w:rPr>
        <w:t xml:space="preserve">rían </w:t>
      </w:r>
      <w:r w:rsidRPr="00962E2B">
        <w:rPr>
          <w:lang w:val="es-AR"/>
        </w:rPr>
        <w:t xml:space="preserve"> ser </w:t>
      </w:r>
      <w:r w:rsidR="00AE4024">
        <w:rPr>
          <w:lang w:val="es-AR"/>
        </w:rPr>
        <w:t>tratada</w:t>
      </w:r>
      <w:r w:rsidRPr="00962E2B">
        <w:rPr>
          <w:lang w:val="es-AR"/>
        </w:rPr>
        <w:t>s como si el paciente no tuviera EPOC</w:t>
      </w:r>
      <w:r>
        <w:rPr>
          <w:lang w:val="es-AR"/>
        </w:rPr>
        <w:t>.</w:t>
      </w:r>
    </w:p>
    <w:p w:rsidR="00962E2B" w:rsidRDefault="00962E2B" w:rsidP="00134436">
      <w:pPr>
        <w:jc w:val="both"/>
        <w:rPr>
          <w:lang w:val="es-ES"/>
        </w:rPr>
      </w:pPr>
      <w:r w:rsidRPr="00962E2B">
        <w:rPr>
          <w:lang w:val="es-ES"/>
        </w:rPr>
        <w:t>El síndrome metab</w:t>
      </w:r>
      <w:r>
        <w:rPr>
          <w:lang w:val="es-ES"/>
        </w:rPr>
        <w:t xml:space="preserve">ólico </w:t>
      </w:r>
      <w:r w:rsidR="00AE4024">
        <w:rPr>
          <w:lang w:val="es-ES"/>
        </w:rPr>
        <w:t xml:space="preserve">es </w:t>
      </w:r>
      <w:r w:rsidRPr="00962E2B">
        <w:rPr>
          <w:lang w:val="es-ES"/>
        </w:rPr>
        <w:t>más frecuente</w:t>
      </w:r>
      <w:r w:rsidR="00B5291E">
        <w:rPr>
          <w:lang w:val="es-ES"/>
        </w:rPr>
        <w:t xml:space="preserve"> en la EPOC e </w:t>
      </w:r>
      <w:r w:rsidRPr="00962E2B">
        <w:rPr>
          <w:lang w:val="es-ES"/>
        </w:rPr>
        <w:t>impact</w:t>
      </w:r>
      <w:r w:rsidR="00AE4024">
        <w:rPr>
          <w:lang w:val="es-ES"/>
        </w:rPr>
        <w:t>a</w:t>
      </w:r>
      <w:r w:rsidRPr="00962E2B">
        <w:rPr>
          <w:lang w:val="es-ES"/>
        </w:rPr>
        <w:t xml:space="preserve"> en el pronóstico</w:t>
      </w:r>
      <w:r>
        <w:rPr>
          <w:lang w:val="es-ES"/>
        </w:rPr>
        <w:t>.</w:t>
      </w:r>
    </w:p>
    <w:p w:rsidR="00473068" w:rsidRPr="00473068" w:rsidRDefault="00473068" w:rsidP="00134436">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b/>
          <w:bCs/>
          <w:color w:val="000000"/>
          <w:lang w:val="es-AR" w:eastAsia="es-AR"/>
        </w:rPr>
        <w:t xml:space="preserve">Relación entre EPOC y SM </w:t>
      </w:r>
    </w:p>
    <w:p w:rsidR="00473068" w:rsidRPr="00473068" w:rsidRDefault="00473068" w:rsidP="00134436">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b/>
          <w:bCs/>
          <w:color w:val="000000"/>
          <w:lang w:val="es-AR" w:eastAsia="es-AR"/>
        </w:rPr>
        <w:t xml:space="preserve">Perfil inflamatorio </w:t>
      </w:r>
    </w:p>
    <w:p w:rsidR="00473068" w:rsidRPr="00473068" w:rsidRDefault="00473068" w:rsidP="00134436">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El mecanismo potencial que vincula la EPOC con las comorbilidades es la </w:t>
      </w:r>
      <w:r w:rsidRPr="00473068">
        <w:rPr>
          <w:rFonts w:asciiTheme="minorHAnsi" w:hAnsiTheme="minorHAnsi" w:cs="Trebuchet MS"/>
          <w:b/>
          <w:bCs/>
          <w:i/>
          <w:iCs/>
          <w:color w:val="000000"/>
          <w:lang w:val="es-AR" w:eastAsia="es-AR"/>
        </w:rPr>
        <w:t>inflamación sistémica</w:t>
      </w:r>
      <w:r w:rsidRPr="00473068">
        <w:rPr>
          <w:rFonts w:asciiTheme="minorHAnsi" w:hAnsiTheme="minorHAnsi" w:cs="Trebuchet MS"/>
          <w:color w:val="000000"/>
          <w:lang w:val="es-AR" w:eastAsia="es-AR"/>
        </w:rPr>
        <w:t xml:space="preserve">. Otros posibles mecanismos, que no son mutuamente excluyentes, son las predisposiciones genéticas, la falta de actividad física secundaria a la obstrucción de las vías respiratorias, y la hipoxia crónica. </w:t>
      </w:r>
    </w:p>
    <w:p w:rsidR="00473068" w:rsidRPr="00473068" w:rsidRDefault="00473068" w:rsidP="00134436">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La inflamación sistémica y la inactividad física son marcadores de </w:t>
      </w:r>
      <w:r>
        <w:rPr>
          <w:rFonts w:asciiTheme="minorHAnsi" w:hAnsiTheme="minorHAnsi" w:cs="Trebuchet MS"/>
          <w:color w:val="000000"/>
          <w:lang w:val="es-AR" w:eastAsia="es-AR"/>
        </w:rPr>
        <w:t xml:space="preserve">la severidad de la enfermedad. </w:t>
      </w:r>
      <w:r w:rsidRPr="00473068">
        <w:rPr>
          <w:rFonts w:asciiTheme="minorHAnsi" w:hAnsiTheme="minorHAnsi" w:cs="Trebuchet MS"/>
          <w:color w:val="000000"/>
          <w:lang w:val="es-AR" w:eastAsia="es-AR"/>
        </w:rPr>
        <w:t xml:space="preserve">La inactividad física y el SM son determinantes de la inflamación sistémica y no han sido estudiados en detalle en pacientes con EPOC. La compleja relación del SM, la inactividad física, y la gravedad de la enfermedad pulmonar con la inflamación sistémica en pacientes con EPOC es en gran medida, desconocida. </w:t>
      </w:r>
    </w:p>
    <w:p w:rsidR="00473068" w:rsidRPr="00473068" w:rsidRDefault="00473068" w:rsidP="00134436">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Algunas citoquinas inflamatorias y proteínas de fase aguda están aumentadas en los pacientes con EPOC, particularmente durante las exacerbaciones. </w:t>
      </w:r>
    </w:p>
    <w:p w:rsidR="00101901" w:rsidRDefault="00101901" w:rsidP="00134436">
      <w:pPr>
        <w:autoSpaceDE w:val="0"/>
        <w:autoSpaceDN w:val="0"/>
        <w:adjustRightInd w:val="0"/>
        <w:spacing w:after="0"/>
        <w:jc w:val="both"/>
        <w:rPr>
          <w:rFonts w:asciiTheme="minorHAnsi" w:hAnsiTheme="minorHAnsi" w:cs="Trebuchet MS"/>
          <w:b/>
          <w:bCs/>
          <w:color w:val="000000"/>
          <w:lang w:val="es-AR" w:eastAsia="es-AR"/>
        </w:rPr>
      </w:pPr>
    </w:p>
    <w:p w:rsidR="00473068" w:rsidRPr="00473068" w:rsidRDefault="00473068" w:rsidP="00101901">
      <w:pPr>
        <w:autoSpaceDE w:val="0"/>
        <w:autoSpaceDN w:val="0"/>
        <w:adjustRightInd w:val="0"/>
        <w:spacing w:after="0"/>
        <w:jc w:val="both"/>
        <w:rPr>
          <w:rFonts w:asciiTheme="minorHAnsi" w:hAnsiTheme="minorHAnsi" w:cs="Trebuchet MS"/>
          <w:color w:val="000000"/>
          <w:lang w:val="es-AR" w:eastAsia="es-AR"/>
        </w:rPr>
      </w:pPr>
      <w:proofErr w:type="spellStart"/>
      <w:r w:rsidRPr="00473068">
        <w:rPr>
          <w:rFonts w:asciiTheme="minorHAnsi" w:hAnsiTheme="minorHAnsi" w:cs="Trebuchet MS"/>
          <w:b/>
          <w:bCs/>
          <w:color w:val="000000"/>
          <w:lang w:val="es-AR" w:eastAsia="es-AR"/>
        </w:rPr>
        <w:t>Citoquinas</w:t>
      </w:r>
      <w:proofErr w:type="spellEnd"/>
      <w:r w:rsidRPr="00473068">
        <w:rPr>
          <w:rFonts w:asciiTheme="minorHAnsi" w:hAnsiTheme="minorHAnsi" w:cs="Trebuchet MS"/>
          <w:b/>
          <w:bCs/>
          <w:color w:val="000000"/>
          <w:lang w:val="es-AR" w:eastAsia="es-AR"/>
        </w:rPr>
        <w:t xml:space="preserve"> inflamatorias aumentadas en la EPOC </w:t>
      </w:r>
    </w:p>
    <w:p w:rsidR="00473068" w:rsidRPr="00473068" w:rsidRDefault="00473068" w:rsidP="00101901">
      <w:pPr>
        <w:autoSpaceDE w:val="0"/>
        <w:autoSpaceDN w:val="0"/>
        <w:adjustRightInd w:val="0"/>
        <w:spacing w:after="13"/>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1. Factor de necrosis tumoral α: TNFα </w:t>
      </w:r>
    </w:p>
    <w:p w:rsidR="00473068" w:rsidRPr="00473068" w:rsidRDefault="00473068" w:rsidP="00101901">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2. </w:t>
      </w:r>
      <w:proofErr w:type="spellStart"/>
      <w:r w:rsidRPr="00473068">
        <w:rPr>
          <w:rFonts w:asciiTheme="minorHAnsi" w:hAnsiTheme="minorHAnsi" w:cs="Trebuchet MS"/>
          <w:color w:val="000000"/>
          <w:lang w:val="es-AR" w:eastAsia="es-AR"/>
        </w:rPr>
        <w:t>Interleuquinas</w:t>
      </w:r>
      <w:proofErr w:type="spellEnd"/>
      <w:r w:rsidRPr="00473068">
        <w:rPr>
          <w:rFonts w:asciiTheme="minorHAnsi" w:hAnsiTheme="minorHAnsi" w:cs="Trebuchet MS"/>
          <w:color w:val="000000"/>
          <w:lang w:val="es-AR" w:eastAsia="es-AR"/>
        </w:rPr>
        <w:t xml:space="preserve">: IL -6, CXCL8 (IL-8), IL-18 </w:t>
      </w:r>
    </w:p>
    <w:p w:rsidR="00473068" w:rsidRPr="00473068" w:rsidRDefault="00473068" w:rsidP="00101901">
      <w:pPr>
        <w:autoSpaceDE w:val="0"/>
        <w:autoSpaceDN w:val="0"/>
        <w:adjustRightInd w:val="0"/>
        <w:spacing w:after="0"/>
        <w:jc w:val="both"/>
        <w:rPr>
          <w:rFonts w:asciiTheme="minorHAnsi" w:hAnsiTheme="minorHAnsi" w:cs="Trebuchet MS"/>
          <w:color w:val="000000"/>
          <w:lang w:val="es-AR" w:eastAsia="es-AR"/>
        </w:rPr>
      </w:pPr>
    </w:p>
    <w:p w:rsidR="00473068" w:rsidRPr="00473068" w:rsidRDefault="00473068" w:rsidP="00101901">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b/>
          <w:bCs/>
          <w:color w:val="000000"/>
          <w:lang w:val="es-AR" w:eastAsia="es-AR"/>
        </w:rPr>
        <w:t xml:space="preserve">Reactantes de fase aguda </w:t>
      </w:r>
    </w:p>
    <w:p w:rsidR="00473068" w:rsidRPr="00473068" w:rsidRDefault="00473068" w:rsidP="00101901">
      <w:pPr>
        <w:autoSpaceDE w:val="0"/>
        <w:autoSpaceDN w:val="0"/>
        <w:adjustRightInd w:val="0"/>
        <w:spacing w:after="13"/>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1. Proteína C reactiva(PCR) </w:t>
      </w:r>
    </w:p>
    <w:p w:rsidR="00473068" w:rsidRPr="00473068" w:rsidRDefault="00473068" w:rsidP="00101901">
      <w:pPr>
        <w:autoSpaceDE w:val="0"/>
        <w:autoSpaceDN w:val="0"/>
        <w:adjustRightInd w:val="0"/>
        <w:spacing w:after="13"/>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2. </w:t>
      </w:r>
      <w:proofErr w:type="spellStart"/>
      <w:r w:rsidRPr="00473068">
        <w:rPr>
          <w:rFonts w:asciiTheme="minorHAnsi" w:hAnsiTheme="minorHAnsi" w:cs="Trebuchet MS"/>
          <w:color w:val="000000"/>
          <w:lang w:val="es-AR" w:eastAsia="es-AR"/>
        </w:rPr>
        <w:t>Amiloide</w:t>
      </w:r>
      <w:proofErr w:type="spellEnd"/>
      <w:r w:rsidRPr="00473068">
        <w:rPr>
          <w:rFonts w:asciiTheme="minorHAnsi" w:hAnsiTheme="minorHAnsi" w:cs="Trebuchet MS"/>
          <w:color w:val="000000"/>
          <w:lang w:val="es-AR" w:eastAsia="es-AR"/>
        </w:rPr>
        <w:t xml:space="preserve"> sérico A </w:t>
      </w:r>
    </w:p>
    <w:p w:rsidR="00473068" w:rsidRPr="00473068" w:rsidRDefault="00473068" w:rsidP="00101901">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3. Fibrinógeno </w:t>
      </w:r>
    </w:p>
    <w:p w:rsidR="00473068" w:rsidRPr="00473068" w:rsidRDefault="00473068" w:rsidP="00101901">
      <w:pPr>
        <w:autoSpaceDE w:val="0"/>
        <w:autoSpaceDN w:val="0"/>
        <w:adjustRightInd w:val="0"/>
        <w:spacing w:after="0"/>
        <w:jc w:val="both"/>
        <w:rPr>
          <w:rFonts w:asciiTheme="minorHAnsi" w:hAnsiTheme="minorHAnsi" w:cs="Trebuchet MS"/>
          <w:color w:val="000000"/>
          <w:lang w:val="es-AR" w:eastAsia="es-AR"/>
        </w:rPr>
      </w:pPr>
    </w:p>
    <w:p w:rsidR="00473068" w:rsidRPr="00473068" w:rsidRDefault="00473068" w:rsidP="00134436">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Estos mediadores se encuentran elevados en plasma, así como en el líquido del lavado </w:t>
      </w:r>
      <w:proofErr w:type="spellStart"/>
      <w:r w:rsidRPr="00473068">
        <w:rPr>
          <w:rFonts w:asciiTheme="minorHAnsi" w:hAnsiTheme="minorHAnsi" w:cs="Trebuchet MS"/>
          <w:color w:val="000000"/>
          <w:lang w:val="es-AR" w:eastAsia="es-AR"/>
        </w:rPr>
        <w:t>broncoalveolar</w:t>
      </w:r>
      <w:proofErr w:type="spellEnd"/>
      <w:r w:rsidRPr="00473068">
        <w:rPr>
          <w:rFonts w:asciiTheme="minorHAnsi" w:hAnsiTheme="minorHAnsi" w:cs="Trebuchet MS"/>
          <w:color w:val="000000"/>
          <w:lang w:val="es-AR" w:eastAsia="es-AR"/>
        </w:rPr>
        <w:t xml:space="preserve"> (</w:t>
      </w:r>
      <w:r w:rsidR="005100F9">
        <w:rPr>
          <w:rFonts w:asciiTheme="minorHAnsi" w:hAnsiTheme="minorHAnsi" w:cs="Trebuchet MS"/>
          <w:color w:val="000000"/>
          <w:lang w:val="es-AR" w:eastAsia="es-AR"/>
        </w:rPr>
        <w:t>BAL</w:t>
      </w:r>
      <w:r w:rsidRPr="00473068">
        <w:rPr>
          <w:rFonts w:asciiTheme="minorHAnsi" w:hAnsiTheme="minorHAnsi" w:cs="Trebuchet MS"/>
          <w:color w:val="000000"/>
          <w:lang w:val="es-AR" w:eastAsia="es-AR"/>
        </w:rPr>
        <w:t>), lo que sugiere que estas citoquinas representa</w:t>
      </w:r>
      <w:r w:rsidR="005100F9">
        <w:rPr>
          <w:rFonts w:asciiTheme="minorHAnsi" w:hAnsiTheme="minorHAnsi" w:cs="Trebuchet MS"/>
          <w:color w:val="000000"/>
          <w:lang w:val="es-AR" w:eastAsia="es-AR"/>
        </w:rPr>
        <w:t>rían “</w:t>
      </w:r>
      <w:r w:rsidRPr="00473068">
        <w:rPr>
          <w:rFonts w:asciiTheme="minorHAnsi" w:hAnsiTheme="minorHAnsi" w:cs="Trebuchet MS"/>
          <w:color w:val="000000"/>
          <w:lang w:val="es-AR" w:eastAsia="es-AR"/>
        </w:rPr>
        <w:t>un derrame</w:t>
      </w:r>
      <w:r w:rsidR="005100F9">
        <w:rPr>
          <w:rFonts w:asciiTheme="minorHAnsi" w:hAnsiTheme="minorHAnsi" w:cs="Trebuchet MS"/>
          <w:color w:val="000000"/>
          <w:lang w:val="es-AR" w:eastAsia="es-AR"/>
        </w:rPr>
        <w:t>”</w:t>
      </w:r>
      <w:r w:rsidRPr="00473068">
        <w:rPr>
          <w:rFonts w:asciiTheme="minorHAnsi" w:hAnsiTheme="minorHAnsi" w:cs="Trebuchet MS"/>
          <w:color w:val="000000"/>
          <w:lang w:val="es-AR" w:eastAsia="es-AR"/>
        </w:rPr>
        <w:t xml:space="preserve"> de mediadores desde los pulmones. </w:t>
      </w:r>
    </w:p>
    <w:p w:rsidR="00473068" w:rsidRPr="00473068" w:rsidRDefault="00473068" w:rsidP="00134436">
      <w:pPr>
        <w:autoSpaceDE w:val="0"/>
        <w:autoSpaceDN w:val="0"/>
        <w:adjustRightInd w:val="0"/>
        <w:spacing w:after="0"/>
        <w:jc w:val="both"/>
        <w:rPr>
          <w:rFonts w:asciiTheme="minorHAnsi" w:hAnsiTheme="minorHAnsi" w:cs="Trebuchet MS"/>
          <w:color w:val="000000"/>
          <w:lang w:val="es-AR" w:eastAsia="es-AR"/>
        </w:rPr>
      </w:pPr>
      <w:r w:rsidRPr="00473068">
        <w:rPr>
          <w:rFonts w:asciiTheme="minorHAnsi" w:hAnsiTheme="minorHAnsi" w:cs="Trebuchet MS"/>
          <w:color w:val="000000"/>
          <w:lang w:val="es-AR" w:eastAsia="es-AR"/>
        </w:rPr>
        <w:t xml:space="preserve">Dado que estas citoquinas circulantes son comunes a muchas enfermedades inflamatorias, este mecanismo es difícil de verificar. Sin embargo, recientemente, se identificó que el surfactante de la proteína D, </w:t>
      </w:r>
      <w:proofErr w:type="spellStart"/>
      <w:r w:rsidRPr="00473068">
        <w:rPr>
          <w:rFonts w:asciiTheme="minorHAnsi" w:hAnsiTheme="minorHAnsi" w:cs="Trebuchet MS"/>
          <w:color w:val="000000"/>
          <w:lang w:val="es-AR" w:eastAsia="es-AR"/>
        </w:rPr>
        <w:t>biomarcador</w:t>
      </w:r>
      <w:proofErr w:type="spellEnd"/>
      <w:r w:rsidRPr="00473068">
        <w:rPr>
          <w:rFonts w:asciiTheme="minorHAnsi" w:hAnsiTheme="minorHAnsi" w:cs="Trebuchet MS"/>
          <w:color w:val="000000"/>
          <w:lang w:val="es-AR" w:eastAsia="es-AR"/>
        </w:rPr>
        <w:t xml:space="preserve"> producido exclusivamente por </w:t>
      </w:r>
      <w:proofErr w:type="spellStart"/>
      <w:r w:rsidRPr="00473068">
        <w:rPr>
          <w:rFonts w:asciiTheme="minorHAnsi" w:hAnsiTheme="minorHAnsi" w:cs="Trebuchet MS"/>
          <w:color w:val="000000"/>
          <w:lang w:val="es-AR" w:eastAsia="es-AR"/>
        </w:rPr>
        <w:t>neumocitos</w:t>
      </w:r>
      <w:proofErr w:type="spellEnd"/>
      <w:r w:rsidRPr="00473068">
        <w:rPr>
          <w:rFonts w:asciiTheme="minorHAnsi" w:hAnsiTheme="minorHAnsi" w:cs="Trebuchet MS"/>
          <w:color w:val="000000"/>
          <w:lang w:val="es-AR" w:eastAsia="es-AR"/>
        </w:rPr>
        <w:t xml:space="preserve"> tipo II, se encuentra elevado en la circulación de pacientes con EPOC, proporcionando una evidencia más directa de la hipótesis </w:t>
      </w:r>
      <w:r w:rsidR="005100F9">
        <w:rPr>
          <w:rFonts w:asciiTheme="minorHAnsi" w:hAnsiTheme="minorHAnsi" w:cs="Trebuchet MS"/>
          <w:color w:val="000000"/>
          <w:lang w:val="es-AR" w:eastAsia="es-AR"/>
        </w:rPr>
        <w:t>“</w:t>
      </w:r>
      <w:r w:rsidRPr="00473068">
        <w:rPr>
          <w:rFonts w:asciiTheme="minorHAnsi" w:hAnsiTheme="minorHAnsi" w:cs="Trebuchet MS"/>
          <w:color w:val="000000"/>
          <w:lang w:val="es-AR" w:eastAsia="es-AR"/>
        </w:rPr>
        <w:t>de</w:t>
      </w:r>
      <w:r w:rsidR="005100F9">
        <w:rPr>
          <w:rFonts w:asciiTheme="minorHAnsi" w:hAnsiTheme="minorHAnsi" w:cs="Trebuchet MS"/>
          <w:color w:val="000000"/>
          <w:lang w:val="es-AR" w:eastAsia="es-AR"/>
        </w:rPr>
        <w:t>l</w:t>
      </w:r>
      <w:r w:rsidRPr="00473068">
        <w:rPr>
          <w:rFonts w:asciiTheme="minorHAnsi" w:hAnsiTheme="minorHAnsi" w:cs="Trebuchet MS"/>
          <w:color w:val="000000"/>
          <w:lang w:val="es-AR" w:eastAsia="es-AR"/>
        </w:rPr>
        <w:t xml:space="preserve"> derrame</w:t>
      </w:r>
      <w:r w:rsidR="005100F9">
        <w:rPr>
          <w:rFonts w:asciiTheme="minorHAnsi" w:hAnsiTheme="minorHAnsi" w:cs="Trebuchet MS"/>
          <w:color w:val="000000"/>
          <w:lang w:val="es-AR" w:eastAsia="es-AR"/>
        </w:rPr>
        <w:t>”</w:t>
      </w:r>
      <w:r w:rsidRPr="00473068">
        <w:rPr>
          <w:rFonts w:asciiTheme="minorHAnsi" w:hAnsiTheme="minorHAnsi" w:cs="Trebuchet MS"/>
          <w:color w:val="000000"/>
          <w:lang w:val="es-AR" w:eastAsia="es-AR"/>
        </w:rPr>
        <w:t xml:space="preserve"> desde los pulmones. Sin embargo, no hay una estrecha correlación entre la concentración de mediadores en esputo y sangre, lo que sugiere que otros factores también est</w:t>
      </w:r>
      <w:r w:rsidR="005100F9">
        <w:rPr>
          <w:rFonts w:asciiTheme="minorHAnsi" w:hAnsiTheme="minorHAnsi" w:cs="Trebuchet MS"/>
          <w:color w:val="000000"/>
          <w:lang w:val="es-AR" w:eastAsia="es-AR"/>
        </w:rPr>
        <w:t xml:space="preserve">arían </w:t>
      </w:r>
      <w:r w:rsidRPr="00473068">
        <w:rPr>
          <w:rFonts w:asciiTheme="minorHAnsi" w:hAnsiTheme="minorHAnsi" w:cs="Trebuchet MS"/>
          <w:color w:val="000000"/>
          <w:lang w:val="es-AR" w:eastAsia="es-AR"/>
        </w:rPr>
        <w:t xml:space="preserve"> involucrados. </w:t>
      </w:r>
    </w:p>
    <w:p w:rsidR="00473068" w:rsidRPr="00473068" w:rsidRDefault="00473068" w:rsidP="00134436">
      <w:pPr>
        <w:autoSpaceDE w:val="0"/>
        <w:autoSpaceDN w:val="0"/>
        <w:adjustRightInd w:val="0"/>
        <w:spacing w:after="0"/>
        <w:jc w:val="both"/>
        <w:rPr>
          <w:rFonts w:asciiTheme="minorHAnsi" w:hAnsiTheme="minorHAnsi"/>
          <w:lang w:val="es-AR" w:eastAsia="es-AR"/>
        </w:rPr>
      </w:pPr>
      <w:r w:rsidRPr="00473068">
        <w:rPr>
          <w:rFonts w:asciiTheme="minorHAnsi" w:hAnsiTheme="minorHAnsi" w:cs="Trebuchet MS"/>
          <w:color w:val="000000"/>
          <w:lang w:val="es-AR" w:eastAsia="es-AR"/>
        </w:rPr>
        <w:t>Los pacientes con EPOC presentan inflamación a nivel pulmonar que puede extenderse a la circulación sistémica,  que lleva</w:t>
      </w:r>
      <w:r w:rsidR="005100F9">
        <w:rPr>
          <w:rFonts w:asciiTheme="minorHAnsi" w:hAnsiTheme="minorHAnsi" w:cs="Trebuchet MS"/>
          <w:color w:val="000000"/>
          <w:lang w:val="es-AR" w:eastAsia="es-AR"/>
        </w:rPr>
        <w:t>, entre otras cosas,</w:t>
      </w:r>
      <w:r w:rsidRPr="00473068">
        <w:rPr>
          <w:rFonts w:asciiTheme="minorHAnsi" w:hAnsiTheme="minorHAnsi" w:cs="Trebuchet MS"/>
          <w:color w:val="000000"/>
          <w:lang w:val="es-AR" w:eastAsia="es-AR"/>
        </w:rPr>
        <w:t xml:space="preserve"> a </w:t>
      </w:r>
      <w:proofErr w:type="gramStart"/>
      <w:r w:rsidRPr="00473068">
        <w:rPr>
          <w:rFonts w:asciiTheme="minorHAnsi" w:hAnsiTheme="minorHAnsi" w:cs="Trebuchet MS"/>
          <w:color w:val="000000"/>
          <w:lang w:val="es-AR" w:eastAsia="es-AR"/>
        </w:rPr>
        <w:t>debilidad del músculo esquelético</w:t>
      </w:r>
      <w:r w:rsidR="005100F9">
        <w:rPr>
          <w:rFonts w:asciiTheme="minorHAnsi" w:hAnsiTheme="minorHAnsi" w:cs="Trebuchet MS"/>
          <w:color w:val="000000"/>
          <w:lang w:val="es-AR" w:eastAsia="es-AR"/>
        </w:rPr>
        <w:t>,</w:t>
      </w:r>
      <w:r w:rsidRPr="00473068">
        <w:rPr>
          <w:rFonts w:asciiTheme="minorHAnsi" w:hAnsiTheme="minorHAnsi" w:cs="Trebuchet MS"/>
          <w:color w:val="000000"/>
          <w:lang w:val="es-AR" w:eastAsia="es-AR"/>
        </w:rPr>
        <w:t xml:space="preserve"> propensión a la caquexia</w:t>
      </w:r>
      <w:r w:rsidR="005100F9">
        <w:rPr>
          <w:rFonts w:asciiTheme="minorHAnsi" w:hAnsiTheme="minorHAnsi" w:cs="Trebuchet MS"/>
          <w:color w:val="000000"/>
          <w:lang w:val="es-AR" w:eastAsia="es-AR"/>
        </w:rPr>
        <w:t>, a</w:t>
      </w:r>
      <w:r w:rsidRPr="00473068">
        <w:rPr>
          <w:rFonts w:asciiTheme="minorHAnsi" w:hAnsiTheme="minorHAnsi" w:cs="Trebuchet MS"/>
          <w:color w:val="000000"/>
          <w:lang w:val="es-AR" w:eastAsia="es-AR"/>
        </w:rPr>
        <w:t>l aumento de las enfermedades cardiovasculares, metabólicas</w:t>
      </w:r>
      <w:r w:rsidR="005100F9">
        <w:rPr>
          <w:rFonts w:asciiTheme="minorHAnsi" w:hAnsiTheme="minorHAnsi" w:cs="Trebuchet MS"/>
          <w:color w:val="000000"/>
          <w:lang w:val="es-AR" w:eastAsia="es-AR"/>
        </w:rPr>
        <w:t>,</w:t>
      </w:r>
      <w:r w:rsidRPr="00473068">
        <w:rPr>
          <w:rFonts w:asciiTheme="minorHAnsi" w:hAnsiTheme="minorHAnsi" w:cs="Trebuchet MS"/>
          <w:color w:val="000000"/>
          <w:lang w:val="es-AR" w:eastAsia="es-AR"/>
        </w:rPr>
        <w:t xml:space="preserve"> óseas</w:t>
      </w:r>
      <w:proofErr w:type="gramEnd"/>
      <w:r w:rsidRPr="00473068">
        <w:rPr>
          <w:rFonts w:asciiTheme="minorHAnsi" w:hAnsiTheme="minorHAnsi" w:cs="Trebuchet MS"/>
          <w:color w:val="000000"/>
          <w:lang w:val="es-AR" w:eastAsia="es-AR"/>
        </w:rPr>
        <w:t xml:space="preserve">, y depresión. Esta inflamación pulmonar también puede incrementar el riesgo de desarrollar cáncer de pulmón. </w:t>
      </w:r>
    </w:p>
    <w:p w:rsidR="00473068" w:rsidRPr="00473068" w:rsidRDefault="00473068" w:rsidP="00134436">
      <w:pPr>
        <w:pageBreakBefore/>
        <w:autoSpaceDE w:val="0"/>
        <w:autoSpaceDN w:val="0"/>
        <w:adjustRightInd w:val="0"/>
        <w:spacing w:after="0"/>
        <w:jc w:val="both"/>
        <w:rPr>
          <w:rFonts w:asciiTheme="minorHAnsi" w:hAnsiTheme="minorHAnsi" w:cs="Trebuchet MS"/>
          <w:lang w:val="es-AR" w:eastAsia="es-AR"/>
        </w:rPr>
      </w:pPr>
      <w:r w:rsidRPr="00473068">
        <w:rPr>
          <w:rFonts w:asciiTheme="minorHAnsi" w:hAnsiTheme="minorHAnsi" w:cs="Trebuchet MS"/>
          <w:lang w:val="es-AR" w:eastAsia="es-AR"/>
        </w:rPr>
        <w:lastRenderedPageBreak/>
        <w:t xml:space="preserve">En pacientes fumadores puede haber una predisposición genética al desarrollo de EPOC, que podría estar relacionada además, con la susceptibilidad genética a las enfermedades </w:t>
      </w:r>
      <w:proofErr w:type="spellStart"/>
      <w:r w:rsidRPr="00473068">
        <w:rPr>
          <w:rFonts w:asciiTheme="minorHAnsi" w:hAnsiTheme="minorHAnsi" w:cs="Trebuchet MS"/>
          <w:lang w:val="es-AR" w:eastAsia="es-AR"/>
        </w:rPr>
        <w:t>comórbidas</w:t>
      </w:r>
      <w:proofErr w:type="spellEnd"/>
      <w:r w:rsidRPr="00473068">
        <w:rPr>
          <w:rFonts w:asciiTheme="minorHAnsi" w:hAnsiTheme="minorHAnsi" w:cs="Trebuchet MS"/>
          <w:lang w:val="es-AR" w:eastAsia="es-AR"/>
        </w:rPr>
        <w:t xml:space="preserve">. La obstrucción de la vía aérea reduce la actividad física y provoca la hipoxia, que puede contribuir a la debilidad del músculo esquelético, así como a las comorbilidades. </w:t>
      </w:r>
    </w:p>
    <w:p w:rsidR="00473068" w:rsidRDefault="00473068" w:rsidP="00134436">
      <w:pPr>
        <w:autoSpaceDE w:val="0"/>
        <w:autoSpaceDN w:val="0"/>
        <w:adjustRightInd w:val="0"/>
        <w:spacing w:after="0"/>
        <w:jc w:val="both"/>
        <w:rPr>
          <w:rFonts w:asciiTheme="minorHAnsi" w:hAnsiTheme="minorHAnsi" w:cs="Trebuchet MS"/>
          <w:lang w:val="es-AR" w:eastAsia="es-AR"/>
        </w:rPr>
      </w:pPr>
      <w:r w:rsidRPr="00473068">
        <w:rPr>
          <w:rFonts w:asciiTheme="minorHAnsi" w:hAnsiTheme="minorHAnsi" w:cs="Trebuchet MS"/>
          <w:lang w:val="es-AR" w:eastAsia="es-AR"/>
        </w:rPr>
        <w:t>La inactividad física como consecuencia de la limitación progresiva del flujo aéreo puede ser un factor importante en la promoción de algunas comorbilidades, tales como debil</w:t>
      </w:r>
      <w:r w:rsidR="005100F9">
        <w:rPr>
          <w:rFonts w:asciiTheme="minorHAnsi" w:hAnsiTheme="minorHAnsi" w:cs="Trebuchet MS"/>
          <w:lang w:val="es-AR" w:eastAsia="es-AR"/>
        </w:rPr>
        <w:t>idad muscular, osteoporosis, y</w:t>
      </w:r>
      <w:r w:rsidRPr="00473068">
        <w:rPr>
          <w:rFonts w:asciiTheme="minorHAnsi" w:hAnsiTheme="minorHAnsi" w:cs="Trebuchet MS"/>
          <w:lang w:val="es-AR" w:eastAsia="es-AR"/>
        </w:rPr>
        <w:t xml:space="preserve"> enfermedades cardiovasculares. También hay cada vez más evidencia de que el enfisema representa </w:t>
      </w:r>
      <w:r w:rsidR="005100F9">
        <w:rPr>
          <w:rFonts w:asciiTheme="minorHAnsi" w:hAnsiTheme="minorHAnsi" w:cs="Trebuchet MS"/>
          <w:lang w:val="es-AR" w:eastAsia="es-AR"/>
        </w:rPr>
        <w:t>un</w:t>
      </w:r>
      <w:r w:rsidRPr="00473068">
        <w:rPr>
          <w:rFonts w:asciiTheme="minorHAnsi" w:hAnsiTheme="minorHAnsi" w:cs="Trebuchet MS"/>
          <w:b/>
          <w:bCs/>
          <w:i/>
          <w:iCs/>
          <w:lang w:val="es-AR" w:eastAsia="es-AR"/>
        </w:rPr>
        <w:t xml:space="preserve">envejecimiento acelerado de los pulmones </w:t>
      </w:r>
      <w:r w:rsidRPr="00473068">
        <w:rPr>
          <w:rFonts w:asciiTheme="minorHAnsi" w:hAnsiTheme="minorHAnsi" w:cs="Trebuchet MS"/>
          <w:lang w:val="es-AR" w:eastAsia="es-AR"/>
        </w:rPr>
        <w:t xml:space="preserve">y que muchas de las comorbilidades asociadas con la EPOC, como la osteoporosis, </w:t>
      </w:r>
      <w:r w:rsidR="005100F9">
        <w:rPr>
          <w:rFonts w:asciiTheme="minorHAnsi" w:hAnsiTheme="minorHAnsi" w:cs="Trebuchet MS"/>
          <w:lang w:val="es-AR" w:eastAsia="es-AR"/>
        </w:rPr>
        <w:t xml:space="preserve">la </w:t>
      </w:r>
      <w:r w:rsidRPr="00473068">
        <w:rPr>
          <w:rFonts w:asciiTheme="minorHAnsi" w:hAnsiTheme="minorHAnsi" w:cs="Trebuchet MS"/>
          <w:lang w:val="es-AR" w:eastAsia="es-AR"/>
        </w:rPr>
        <w:t xml:space="preserve">falla cardiaca, y </w:t>
      </w:r>
      <w:r w:rsidR="005100F9">
        <w:rPr>
          <w:rFonts w:asciiTheme="minorHAnsi" w:hAnsiTheme="minorHAnsi" w:cs="Trebuchet MS"/>
          <w:lang w:val="es-AR" w:eastAsia="es-AR"/>
        </w:rPr>
        <w:t xml:space="preserve">la </w:t>
      </w:r>
      <w:r w:rsidRPr="00473068">
        <w:rPr>
          <w:rFonts w:asciiTheme="minorHAnsi" w:hAnsiTheme="minorHAnsi" w:cs="Trebuchet MS"/>
          <w:lang w:val="es-AR" w:eastAsia="es-AR"/>
        </w:rPr>
        <w:t xml:space="preserve">diabetes, son también enfermedades de envejecimiento acelerado y pueden ser una consecuencia de la síntesis reducida de moléculas anti-envejecimiento, como las </w:t>
      </w:r>
      <w:proofErr w:type="spellStart"/>
      <w:r w:rsidRPr="00473068">
        <w:rPr>
          <w:rFonts w:asciiTheme="minorHAnsi" w:hAnsiTheme="minorHAnsi" w:cs="Trebuchet MS"/>
          <w:lang w:val="es-AR" w:eastAsia="es-AR"/>
        </w:rPr>
        <w:t>sirtuinas</w:t>
      </w:r>
      <w:proofErr w:type="spellEnd"/>
      <w:r w:rsidRPr="00473068">
        <w:rPr>
          <w:rFonts w:asciiTheme="minorHAnsi" w:hAnsiTheme="minorHAnsi" w:cs="Trebuchet MS"/>
          <w:lang w:val="es-AR" w:eastAsia="es-AR"/>
        </w:rPr>
        <w:t xml:space="preserve">. </w:t>
      </w:r>
    </w:p>
    <w:p w:rsidR="00101901" w:rsidRPr="00473068" w:rsidRDefault="00101901" w:rsidP="00134436">
      <w:pPr>
        <w:autoSpaceDE w:val="0"/>
        <w:autoSpaceDN w:val="0"/>
        <w:adjustRightInd w:val="0"/>
        <w:spacing w:after="0"/>
        <w:jc w:val="both"/>
        <w:rPr>
          <w:rFonts w:asciiTheme="minorHAnsi" w:hAnsiTheme="minorHAnsi" w:cs="Trebuchet MS"/>
          <w:lang w:val="es-AR" w:eastAsia="es-AR"/>
        </w:rPr>
      </w:pPr>
    </w:p>
    <w:p w:rsidR="00473068" w:rsidRPr="00473068" w:rsidRDefault="00473068" w:rsidP="00134436">
      <w:pPr>
        <w:autoSpaceDE w:val="0"/>
        <w:autoSpaceDN w:val="0"/>
        <w:adjustRightInd w:val="0"/>
        <w:spacing w:after="0"/>
        <w:jc w:val="both"/>
        <w:rPr>
          <w:rFonts w:asciiTheme="minorHAnsi" w:hAnsiTheme="minorHAnsi" w:cs="Trebuchet MS"/>
          <w:lang w:val="es-AR" w:eastAsia="es-AR"/>
        </w:rPr>
      </w:pPr>
      <w:r w:rsidRPr="00473068">
        <w:rPr>
          <w:rFonts w:asciiTheme="minorHAnsi" w:hAnsiTheme="minorHAnsi" w:cs="Trebuchet MS"/>
          <w:b/>
          <w:bCs/>
          <w:lang w:val="es-AR" w:eastAsia="es-AR"/>
        </w:rPr>
        <w:t xml:space="preserve">Mecanismos fisiopatológicos </w:t>
      </w:r>
    </w:p>
    <w:p w:rsidR="00473068" w:rsidRPr="00473068" w:rsidRDefault="00473068" w:rsidP="00134436">
      <w:pPr>
        <w:autoSpaceDE w:val="0"/>
        <w:autoSpaceDN w:val="0"/>
        <w:adjustRightInd w:val="0"/>
        <w:spacing w:after="0"/>
        <w:jc w:val="both"/>
        <w:rPr>
          <w:rFonts w:asciiTheme="minorHAnsi" w:hAnsiTheme="minorHAnsi" w:cs="Trebuchet MS"/>
          <w:lang w:val="es-AR" w:eastAsia="es-AR"/>
        </w:rPr>
      </w:pPr>
      <w:r w:rsidRPr="00473068">
        <w:rPr>
          <w:rFonts w:asciiTheme="minorHAnsi" w:hAnsiTheme="minorHAnsi" w:cs="Trebuchet MS"/>
          <w:lang w:val="es-AR" w:eastAsia="es-AR"/>
        </w:rPr>
        <w:t xml:space="preserve">La patogénesis del SM presenta múltiples orígenes. La obesidad, el sedentarismo, junto con una dieta </w:t>
      </w:r>
      <w:r w:rsidR="005100F9">
        <w:rPr>
          <w:rFonts w:asciiTheme="minorHAnsi" w:hAnsiTheme="minorHAnsi" w:cs="Trebuchet MS"/>
          <w:lang w:val="es-AR" w:eastAsia="es-AR"/>
        </w:rPr>
        <w:t>inapropiada</w:t>
      </w:r>
      <w:r w:rsidRPr="00473068">
        <w:rPr>
          <w:rFonts w:asciiTheme="minorHAnsi" w:hAnsiTheme="minorHAnsi" w:cs="Trebuchet MS"/>
          <w:lang w:val="es-AR" w:eastAsia="es-AR"/>
        </w:rPr>
        <w:t xml:space="preserve">, y desconocidos factores genéticos interactúan para producir el síndrome. </w:t>
      </w:r>
    </w:p>
    <w:p w:rsidR="00473068" w:rsidRPr="00473068" w:rsidRDefault="00473068" w:rsidP="00134436">
      <w:pPr>
        <w:autoSpaceDE w:val="0"/>
        <w:autoSpaceDN w:val="0"/>
        <w:adjustRightInd w:val="0"/>
        <w:spacing w:after="0"/>
        <w:jc w:val="both"/>
        <w:rPr>
          <w:rFonts w:asciiTheme="minorHAnsi" w:hAnsiTheme="minorHAnsi" w:cs="Trebuchet MS"/>
          <w:lang w:val="es-AR" w:eastAsia="es-AR"/>
        </w:rPr>
      </w:pPr>
      <w:r w:rsidRPr="00473068">
        <w:rPr>
          <w:rFonts w:asciiTheme="minorHAnsi" w:hAnsiTheme="minorHAnsi" w:cs="Trebuchet MS"/>
          <w:lang w:val="es-AR" w:eastAsia="es-AR"/>
        </w:rPr>
        <w:t xml:space="preserve">Estos factores de riesgo pueden impactar a diferentes niveles: por un lado, el sujeto puede padecer EPOC y por otro lado, puede sufrir obesidad. Para que estos desórdenes se produzcan, interactúan diferentes factores genéticos, ambientales y </w:t>
      </w:r>
      <w:r w:rsidR="005100F9">
        <w:rPr>
          <w:rFonts w:asciiTheme="minorHAnsi" w:hAnsiTheme="minorHAnsi" w:cs="Trebuchet MS"/>
          <w:lang w:val="es-AR" w:eastAsia="es-AR"/>
        </w:rPr>
        <w:t xml:space="preserve">la </w:t>
      </w:r>
      <w:r w:rsidRPr="00473068">
        <w:rPr>
          <w:rFonts w:asciiTheme="minorHAnsi" w:hAnsiTheme="minorHAnsi" w:cs="Trebuchet MS"/>
          <w:lang w:val="es-AR" w:eastAsia="es-AR"/>
        </w:rPr>
        <w:t xml:space="preserve">susceptibilidad individual. </w:t>
      </w:r>
    </w:p>
    <w:p w:rsidR="00473068" w:rsidRPr="00473068" w:rsidRDefault="00473068" w:rsidP="00134436">
      <w:pPr>
        <w:autoSpaceDE w:val="0"/>
        <w:autoSpaceDN w:val="0"/>
        <w:adjustRightInd w:val="0"/>
        <w:spacing w:after="0"/>
        <w:jc w:val="both"/>
        <w:rPr>
          <w:rFonts w:asciiTheme="minorHAnsi" w:hAnsiTheme="minorHAnsi" w:cs="Trebuchet MS"/>
          <w:lang w:val="es-AR" w:eastAsia="es-AR"/>
        </w:rPr>
      </w:pPr>
      <w:r w:rsidRPr="00473068">
        <w:rPr>
          <w:rFonts w:asciiTheme="minorHAnsi" w:hAnsiTheme="minorHAnsi" w:cs="Trebuchet MS"/>
          <w:lang w:val="es-AR" w:eastAsia="es-AR"/>
        </w:rPr>
        <w:t xml:space="preserve">Estos desórdenes dan origen a la cascada inflamatoria que activa diferentes células liberadoras de mediadores, tales como citoquinas, que dan lugar a diferentes alteraciones con un resultado final que es la EPOC y el SM (Figura 1). </w:t>
      </w:r>
    </w:p>
    <w:p w:rsidR="00473068" w:rsidRDefault="00473068" w:rsidP="00473068">
      <w:pPr>
        <w:pageBreakBefore/>
        <w:autoSpaceDE w:val="0"/>
        <w:autoSpaceDN w:val="0"/>
        <w:adjustRightInd w:val="0"/>
        <w:spacing w:after="0" w:line="240" w:lineRule="auto"/>
        <w:rPr>
          <w:rFonts w:asciiTheme="minorHAnsi" w:hAnsiTheme="minorHAnsi" w:cs="Trebuchet MS"/>
          <w:lang w:val="es-AR" w:eastAsia="es-AR"/>
        </w:rPr>
      </w:pPr>
      <w:r w:rsidRPr="00473068">
        <w:rPr>
          <w:noProof/>
          <w:lang w:val="es-AR" w:eastAsia="es-AR"/>
        </w:rPr>
        <w:lastRenderedPageBreak/>
        <w:drawing>
          <wp:inline distT="0" distB="0" distL="0" distR="0">
            <wp:extent cx="5287618" cy="335581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4107" t="18059" r="28045" b="5692"/>
                    <a:stretch/>
                  </pic:blipFill>
                  <pic:spPr bwMode="auto">
                    <a:xfrm>
                      <a:off x="0" y="0"/>
                      <a:ext cx="5295259" cy="33606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3068" w:rsidRPr="00473068" w:rsidRDefault="00473068" w:rsidP="00101901">
      <w:pPr>
        <w:pageBreakBefore/>
        <w:autoSpaceDE w:val="0"/>
        <w:autoSpaceDN w:val="0"/>
        <w:adjustRightInd w:val="0"/>
        <w:spacing w:after="0"/>
        <w:jc w:val="both"/>
        <w:rPr>
          <w:rFonts w:asciiTheme="minorHAnsi" w:hAnsiTheme="minorHAnsi" w:cs="Trebuchet MS"/>
          <w:lang w:val="es-AR" w:eastAsia="es-AR"/>
        </w:rPr>
      </w:pPr>
      <w:r>
        <w:rPr>
          <w:rFonts w:asciiTheme="minorHAnsi" w:hAnsiTheme="minorHAnsi" w:cs="Trebuchet MS"/>
          <w:lang w:val="es-AR" w:eastAsia="es-AR"/>
        </w:rPr>
        <w:lastRenderedPageBreak/>
        <w:t xml:space="preserve">Los </w:t>
      </w:r>
      <w:r w:rsidRPr="00473068">
        <w:rPr>
          <w:rFonts w:asciiTheme="minorHAnsi" w:hAnsiTheme="minorHAnsi" w:cs="Trebuchet MS"/>
          <w:lang w:val="es-AR" w:eastAsia="es-AR"/>
        </w:rPr>
        <w:t xml:space="preserve">adipocitos liberan una serie de hormonas como la </w:t>
      </w:r>
      <w:proofErr w:type="spellStart"/>
      <w:r w:rsidRPr="00473068">
        <w:rPr>
          <w:rFonts w:asciiTheme="minorHAnsi" w:hAnsiTheme="minorHAnsi" w:cs="Trebuchet MS"/>
          <w:lang w:val="es-AR" w:eastAsia="es-AR"/>
        </w:rPr>
        <w:t>adiponectina</w:t>
      </w:r>
      <w:proofErr w:type="spellEnd"/>
      <w:r w:rsidRPr="00473068">
        <w:rPr>
          <w:rFonts w:asciiTheme="minorHAnsi" w:hAnsiTheme="minorHAnsi" w:cs="Trebuchet MS"/>
          <w:lang w:val="es-AR" w:eastAsia="es-AR"/>
        </w:rPr>
        <w:t xml:space="preserve">, que reduce los triglicéridos plasmáticos y mejora el metabolismo de la glucosa; y la </w:t>
      </w:r>
      <w:proofErr w:type="spellStart"/>
      <w:r w:rsidRPr="00473068">
        <w:rPr>
          <w:rFonts w:asciiTheme="minorHAnsi" w:hAnsiTheme="minorHAnsi" w:cs="Trebuchet MS"/>
          <w:lang w:val="es-AR" w:eastAsia="es-AR"/>
        </w:rPr>
        <w:t>leptina</w:t>
      </w:r>
      <w:proofErr w:type="spellEnd"/>
      <w:r w:rsidRPr="00473068">
        <w:rPr>
          <w:rFonts w:asciiTheme="minorHAnsi" w:hAnsiTheme="minorHAnsi" w:cs="Trebuchet MS"/>
          <w:lang w:val="es-AR" w:eastAsia="es-AR"/>
        </w:rPr>
        <w:t xml:space="preserve"> que actúa como un regulador del apetito. Además, actúan sobre diferentes citoquinas (IL-1, IL-6, PG, ET), amplificando la respuesta inflamatoria, de la misma manera que actúan los macrófagos (Figura 2). Esta inflamación lleva finalmente a la presentación de varios componentes del SM. </w:t>
      </w:r>
    </w:p>
    <w:p w:rsidR="00473068" w:rsidRPr="00473068" w:rsidRDefault="00473068" w:rsidP="00101901">
      <w:pPr>
        <w:autoSpaceDE w:val="0"/>
        <w:autoSpaceDN w:val="0"/>
        <w:adjustRightInd w:val="0"/>
        <w:spacing w:after="0"/>
        <w:jc w:val="both"/>
        <w:rPr>
          <w:rFonts w:asciiTheme="minorHAnsi" w:hAnsiTheme="minorHAnsi" w:cs="Trebuchet MS"/>
          <w:lang w:val="es-AR" w:eastAsia="es-AR"/>
        </w:rPr>
      </w:pPr>
      <w:r w:rsidRPr="00473068">
        <w:rPr>
          <w:rFonts w:asciiTheme="minorHAnsi" w:hAnsiTheme="minorHAnsi" w:cs="Trebuchet MS"/>
          <w:lang w:val="es-AR" w:eastAsia="es-AR"/>
        </w:rPr>
        <w:t>Por otro lado, pensemos la repercusión funcional que presenta la obesidad sobre la función pulmonar: el paciente obeso es un potencial paciente respiratorio, ya que puede presentar disminución de los volúmenes pulmonares: capacidad pulmonar total (TLC), capacidad residual funcional (FRC) y volumen de reserva espiratorio (ERV) y aumento de la resistencia pulmonar, además de poder presentar síndrome de hipoventilación por obesidad y apnea obstructiva del sueño. A medida que aumenta el IMC, luego de los 25-30 kg/</w:t>
      </w:r>
      <w:proofErr w:type="gramStart"/>
      <w:r w:rsidRPr="00473068">
        <w:rPr>
          <w:rFonts w:asciiTheme="minorHAnsi" w:hAnsiTheme="minorHAnsi" w:cs="Trebuchet MS"/>
          <w:lang w:val="es-AR" w:eastAsia="es-AR"/>
        </w:rPr>
        <w:t>m2 ,</w:t>
      </w:r>
      <w:proofErr w:type="gramEnd"/>
      <w:r w:rsidRPr="00473068">
        <w:rPr>
          <w:rFonts w:asciiTheme="minorHAnsi" w:hAnsiTheme="minorHAnsi" w:cs="Trebuchet MS"/>
          <w:lang w:val="es-AR" w:eastAsia="es-AR"/>
        </w:rPr>
        <w:t xml:space="preserve"> disminuyen el cociente FEV1/FVC, la VC, FRC y ERV, mostrando el rol negativo de la obesidad sobre el aparato respiratorio. </w:t>
      </w:r>
    </w:p>
    <w:p w:rsidR="00962E2B" w:rsidRPr="00473068" w:rsidRDefault="00691118" w:rsidP="00CF46B0">
      <w:pPr>
        <w:rPr>
          <w:rFonts w:asciiTheme="minorHAnsi" w:hAnsiTheme="minorHAnsi"/>
          <w:lang w:val="es-ES"/>
        </w:rPr>
      </w:pPr>
      <w:r w:rsidRPr="00691118">
        <w:rPr>
          <w:noProof/>
          <w:lang w:val="es-AR" w:eastAsia="es-AR"/>
        </w:rPr>
        <w:drawing>
          <wp:inline distT="0" distB="0" distL="0" distR="0">
            <wp:extent cx="4762202" cy="1995777"/>
            <wp:effectExtent l="0" t="0" r="63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6659" t="28092" r="25070" b="21243"/>
                    <a:stretch/>
                  </pic:blipFill>
                  <pic:spPr bwMode="auto">
                    <a:xfrm>
                      <a:off x="0" y="0"/>
                      <a:ext cx="4760936" cy="1995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50A3" w:rsidRPr="00473068" w:rsidRDefault="00B250A3" w:rsidP="00CF46B0">
      <w:pPr>
        <w:rPr>
          <w:rFonts w:asciiTheme="minorHAnsi" w:hAnsiTheme="minorHAnsi"/>
          <w:lang w:val="da-DK"/>
        </w:rPr>
      </w:pPr>
    </w:p>
    <w:p w:rsidR="00CF46B0" w:rsidRPr="00CD5994" w:rsidRDefault="00CF46B0" w:rsidP="00D1255B">
      <w:pPr>
        <w:rPr>
          <w:lang w:val="da-DK"/>
        </w:rPr>
      </w:pPr>
    </w:p>
    <w:p w:rsidR="00EB42E1" w:rsidRPr="00CD5994" w:rsidRDefault="00EB42E1" w:rsidP="00101901">
      <w:pPr>
        <w:pStyle w:val="Default"/>
        <w:jc w:val="both"/>
        <w:rPr>
          <w:rFonts w:ascii="Calibri" w:hAnsi="Calibri"/>
          <w:b/>
          <w:bCs/>
          <w:sz w:val="22"/>
          <w:szCs w:val="22"/>
          <w:lang w:val="es-AR"/>
        </w:rPr>
      </w:pPr>
      <w:r w:rsidRPr="00CD5994">
        <w:rPr>
          <w:rFonts w:ascii="Calibri" w:hAnsi="Calibri"/>
          <w:b/>
          <w:bCs/>
          <w:sz w:val="22"/>
          <w:szCs w:val="22"/>
          <w:lang w:val="es-AR"/>
        </w:rPr>
        <w:t>Síndrome Metabólico</w:t>
      </w:r>
    </w:p>
    <w:p w:rsidR="00EB42E1" w:rsidRPr="00CD5994" w:rsidRDefault="00EB42E1" w:rsidP="00101901">
      <w:pPr>
        <w:pStyle w:val="Default"/>
        <w:jc w:val="both"/>
        <w:rPr>
          <w:rFonts w:ascii="Calibri" w:hAnsi="Calibri"/>
          <w:sz w:val="22"/>
          <w:szCs w:val="22"/>
          <w:lang w:val="es-AR"/>
        </w:rPr>
      </w:pPr>
    </w:p>
    <w:p w:rsidR="00EB42E1" w:rsidRPr="00CD5994" w:rsidRDefault="00EB42E1" w:rsidP="00101901">
      <w:pPr>
        <w:pStyle w:val="Default"/>
        <w:spacing w:line="276" w:lineRule="auto"/>
        <w:jc w:val="both"/>
        <w:rPr>
          <w:rFonts w:ascii="Calibri" w:hAnsi="Calibri"/>
          <w:sz w:val="22"/>
          <w:szCs w:val="22"/>
          <w:lang w:val="es-AR"/>
        </w:rPr>
      </w:pPr>
      <w:r w:rsidRPr="00CD5994">
        <w:rPr>
          <w:rFonts w:ascii="Calibri" w:hAnsi="Calibri"/>
          <w:sz w:val="22"/>
          <w:szCs w:val="22"/>
          <w:lang w:val="es-AR"/>
        </w:rPr>
        <w:t xml:space="preserve">Representa un grupo de factores de riesgo que aumenta la posibilidad de desarrollar diabetes mellitus, enfermedad cardiovascular fatal y no fatal, así como mortalidad por cualquier causa. </w:t>
      </w:r>
    </w:p>
    <w:p w:rsidR="00EB42E1" w:rsidRPr="00CD5994" w:rsidRDefault="00EB42E1" w:rsidP="00101901">
      <w:pPr>
        <w:jc w:val="both"/>
        <w:rPr>
          <w:lang w:val="es-AR"/>
        </w:rPr>
      </w:pPr>
      <w:r w:rsidRPr="00CD5994">
        <w:rPr>
          <w:lang w:val="es-AR"/>
        </w:rPr>
        <w:t xml:space="preserve">El SM, además se ha reconocido como un estado </w:t>
      </w:r>
      <w:proofErr w:type="spellStart"/>
      <w:r w:rsidRPr="00CD5994">
        <w:rPr>
          <w:lang w:val="es-AR"/>
        </w:rPr>
        <w:t>protrombótico</w:t>
      </w:r>
      <w:proofErr w:type="spellEnd"/>
      <w:r w:rsidRPr="00CD5994">
        <w:rPr>
          <w:lang w:val="es-AR"/>
        </w:rPr>
        <w:t xml:space="preserve"> y </w:t>
      </w:r>
      <w:proofErr w:type="spellStart"/>
      <w:r w:rsidRPr="00CD5994">
        <w:rPr>
          <w:lang w:val="es-AR"/>
        </w:rPr>
        <w:t>proinflamatorio</w:t>
      </w:r>
      <w:proofErr w:type="spellEnd"/>
      <w:r w:rsidRPr="00CD5994">
        <w:rPr>
          <w:lang w:val="es-AR"/>
        </w:rPr>
        <w:t xml:space="preserve">, asociado con altos niveles de </w:t>
      </w:r>
      <w:proofErr w:type="spellStart"/>
      <w:r w:rsidRPr="00CD5994">
        <w:rPr>
          <w:lang w:val="es-AR"/>
        </w:rPr>
        <w:t>biomarcadores</w:t>
      </w:r>
      <w:proofErr w:type="spellEnd"/>
      <w:r w:rsidRPr="00CD5994">
        <w:rPr>
          <w:lang w:val="es-AR"/>
        </w:rPr>
        <w:t xml:space="preserve"> de inflamación como la proteína C reactiva (PCR), IL-6 y fibrinógeno.</w:t>
      </w:r>
    </w:p>
    <w:p w:rsidR="0068048D" w:rsidRPr="0087735E" w:rsidRDefault="0068048D" w:rsidP="00101901">
      <w:pPr>
        <w:pStyle w:val="Default"/>
        <w:spacing w:line="276" w:lineRule="auto"/>
        <w:jc w:val="both"/>
        <w:rPr>
          <w:rFonts w:ascii="Calibri" w:hAnsi="Calibri"/>
          <w:b/>
          <w:bCs/>
          <w:sz w:val="22"/>
          <w:szCs w:val="22"/>
          <w:lang w:val="es-AR"/>
        </w:rPr>
      </w:pPr>
      <w:r w:rsidRPr="0087735E">
        <w:rPr>
          <w:rFonts w:ascii="Calibri" w:hAnsi="Calibri"/>
          <w:b/>
          <w:bCs/>
          <w:sz w:val="22"/>
          <w:szCs w:val="22"/>
          <w:lang w:val="es-AR"/>
        </w:rPr>
        <w:t xml:space="preserve">Implicancias clínicas del Síndrome Metabólico </w:t>
      </w:r>
    </w:p>
    <w:p w:rsidR="0068048D" w:rsidRPr="0087735E" w:rsidRDefault="0068048D" w:rsidP="00101901">
      <w:pPr>
        <w:pStyle w:val="Default"/>
        <w:spacing w:line="276" w:lineRule="auto"/>
        <w:jc w:val="both"/>
        <w:rPr>
          <w:rFonts w:ascii="Calibri" w:hAnsi="Calibri"/>
          <w:sz w:val="22"/>
          <w:szCs w:val="22"/>
          <w:lang w:val="es-AR"/>
        </w:rPr>
      </w:pPr>
    </w:p>
    <w:p w:rsidR="0068048D" w:rsidRPr="00CD5994" w:rsidRDefault="0068048D" w:rsidP="00101901">
      <w:pPr>
        <w:jc w:val="both"/>
        <w:rPr>
          <w:lang w:val="es-AR"/>
        </w:rPr>
      </w:pPr>
      <w:r w:rsidRPr="00CD5994">
        <w:rPr>
          <w:lang w:val="es-AR"/>
        </w:rPr>
        <w:t>El SM es un factor de riesgo importante para el desarrollo posterior de enfermedad cardiovascular y/o diabetes tipo 2. Por lo tanto, es clave el diagnóstico de SM, ya que identificamos un paciente que necesita la modificación del estilo de vida enfocado en la reducción de peso y el aumento de la actividad física.</w:t>
      </w:r>
    </w:p>
    <w:p w:rsidR="009F671D" w:rsidRPr="00CD5994" w:rsidRDefault="009F671D" w:rsidP="00101901">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lastRenderedPageBreak/>
        <w:t>En 2001, el Panel de Tratamiento del Adulto (ATP III) del Programa Nacional de Educación sobre el Colesterol (NCEP) identificó al síndrome metabólico como factor de riesgo múltiple para</w:t>
      </w:r>
      <w:r w:rsidR="00531159" w:rsidRPr="00CD5994">
        <w:rPr>
          <w:rFonts w:ascii="Calibri" w:hAnsi="Calibri"/>
          <w:color w:val="000000"/>
          <w:sz w:val="22"/>
          <w:szCs w:val="22"/>
          <w:lang w:val="es-AR"/>
        </w:rPr>
        <w:t xml:space="preserve"> enfermedad cardiovascular</w:t>
      </w:r>
      <w:r w:rsidRPr="00CD5994">
        <w:rPr>
          <w:rFonts w:ascii="Calibri" w:hAnsi="Calibri"/>
          <w:color w:val="000000"/>
          <w:sz w:val="22"/>
          <w:szCs w:val="22"/>
          <w:lang w:val="es-AR"/>
        </w:rPr>
        <w:t>. El propósito del ATP III fue identificar personas con riesgo alto para presentar eventos cardiovasculares a largo plazo (10 años), quienes deberían recibir intervención para modificar estilos de vida o tratamiento farmacológico, y así reducir el riesgo cardiovascular. Con esta definición, se hace práctico el manejo de los factores de riesgo asociados en las personas que se agrupan en el síndrome metabólico.</w:t>
      </w:r>
    </w:p>
    <w:p w:rsidR="009F671D" w:rsidRDefault="009F671D" w:rsidP="00101901">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 xml:space="preserve"> Últimamente, en el 2005, la Fundación Internacional para la Diabetes (IDF) publicó nuevos criterios, modificando los del ATP III, pero incluyó a la obesidad abdominal como un factor de riesgo que debe estar presente en todo diagnóstico del síndrome, con corrección para grupos étni</w:t>
      </w:r>
      <w:r w:rsidR="00531159" w:rsidRPr="00CD5994">
        <w:rPr>
          <w:rFonts w:ascii="Calibri" w:hAnsi="Calibri"/>
          <w:color w:val="000000"/>
          <w:sz w:val="22"/>
          <w:szCs w:val="22"/>
          <w:lang w:val="es-AR"/>
        </w:rPr>
        <w:t>cos</w:t>
      </w:r>
      <w:r w:rsidRPr="00CD5994">
        <w:rPr>
          <w:rFonts w:ascii="Calibri" w:hAnsi="Calibri"/>
          <w:color w:val="000000"/>
          <w:sz w:val="22"/>
          <w:szCs w:val="22"/>
          <w:lang w:val="es-AR"/>
        </w:rPr>
        <w:t>.</w:t>
      </w:r>
    </w:p>
    <w:p w:rsidR="0075412A" w:rsidRPr="00CD5994" w:rsidRDefault="0075412A" w:rsidP="00101901">
      <w:pPr>
        <w:pStyle w:val="NormalWeb"/>
        <w:spacing w:line="276" w:lineRule="auto"/>
        <w:jc w:val="both"/>
        <w:rPr>
          <w:rFonts w:ascii="Calibri" w:hAnsi="Calibri"/>
          <w:color w:val="000000"/>
          <w:sz w:val="22"/>
          <w:szCs w:val="22"/>
          <w:lang w:val="es-AR"/>
        </w:rPr>
      </w:pPr>
      <w:r>
        <w:rPr>
          <w:rFonts w:ascii="Calibri" w:hAnsi="Calibri"/>
          <w:color w:val="000000"/>
          <w:sz w:val="22"/>
          <w:szCs w:val="22"/>
          <w:lang w:val="es-AR"/>
        </w:rPr>
        <w:t xml:space="preserve">Los criterios diagnósticos del  SM han sido sujeto de muchas definiciones, como </w:t>
      </w:r>
      <w:r w:rsidR="000A0CD9">
        <w:rPr>
          <w:rFonts w:ascii="Calibri" w:hAnsi="Calibri"/>
          <w:color w:val="000000"/>
          <w:sz w:val="22"/>
          <w:szCs w:val="22"/>
          <w:lang w:val="es-AR"/>
        </w:rPr>
        <w:t xml:space="preserve">las del Tercer Reporte del Panel de Expertos del </w:t>
      </w:r>
      <w:proofErr w:type="spellStart"/>
      <w:r w:rsidR="000A0CD9">
        <w:rPr>
          <w:rFonts w:ascii="Calibri" w:hAnsi="Calibri"/>
          <w:color w:val="000000"/>
          <w:sz w:val="22"/>
          <w:szCs w:val="22"/>
          <w:lang w:val="es-AR"/>
        </w:rPr>
        <w:t>NationalCholesterolEducationProgram</w:t>
      </w:r>
      <w:proofErr w:type="spellEnd"/>
      <w:r w:rsidR="000A0CD9">
        <w:rPr>
          <w:rFonts w:ascii="Calibri" w:hAnsi="Calibri"/>
          <w:color w:val="000000"/>
          <w:sz w:val="22"/>
          <w:szCs w:val="22"/>
          <w:lang w:val="es-AR"/>
        </w:rPr>
        <w:t xml:space="preserve"> (NCEP) sobre la detección, Evaluación, y Tratamiento del Colesterol Sanguíneo elevado en Adultos (ATPIII), la International Diabetes </w:t>
      </w:r>
      <w:proofErr w:type="spellStart"/>
      <w:r w:rsidR="000A0CD9">
        <w:rPr>
          <w:rFonts w:ascii="Calibri" w:hAnsi="Calibri"/>
          <w:color w:val="000000"/>
          <w:sz w:val="22"/>
          <w:szCs w:val="22"/>
          <w:lang w:val="es-AR"/>
        </w:rPr>
        <w:t>Federation</w:t>
      </w:r>
      <w:proofErr w:type="spellEnd"/>
      <w:r w:rsidR="000A0CD9">
        <w:rPr>
          <w:rFonts w:ascii="Calibri" w:hAnsi="Calibri"/>
          <w:color w:val="000000"/>
          <w:sz w:val="22"/>
          <w:szCs w:val="22"/>
          <w:lang w:val="es-AR"/>
        </w:rPr>
        <w:t xml:space="preserve"> (IDF), OMS, AACE, entre otras, siendo las dos más utilizadas</w:t>
      </w:r>
      <w:r w:rsidR="0068555C">
        <w:rPr>
          <w:rFonts w:ascii="Calibri" w:hAnsi="Calibri"/>
          <w:color w:val="000000"/>
          <w:sz w:val="22"/>
          <w:szCs w:val="22"/>
          <w:lang w:val="es-AR"/>
        </w:rPr>
        <w:t>, la ATPIII y la IDF</w:t>
      </w:r>
      <w:r w:rsidR="000A0CD9">
        <w:rPr>
          <w:rFonts w:ascii="Calibri" w:hAnsi="Calibri"/>
          <w:color w:val="000000"/>
          <w:sz w:val="22"/>
          <w:szCs w:val="22"/>
          <w:lang w:val="es-AR"/>
        </w:rPr>
        <w:t>. (Ver tabla1)</w:t>
      </w:r>
    </w:p>
    <w:p w:rsidR="00F94021" w:rsidRPr="00CD5994" w:rsidRDefault="00F94021" w:rsidP="009F671D">
      <w:pPr>
        <w:pStyle w:val="NormalWeb"/>
        <w:rPr>
          <w:rFonts w:ascii="Calibri" w:hAnsi="Calibri"/>
          <w:color w:val="000000"/>
          <w:sz w:val="22"/>
          <w:szCs w:val="22"/>
          <w:lang w:val="es-AR"/>
        </w:rPr>
      </w:pPr>
    </w:p>
    <w:p w:rsidR="009F671D" w:rsidRPr="00CD5994" w:rsidRDefault="00133ADE" w:rsidP="0068048D">
      <w:pPr>
        <w:rPr>
          <w:lang w:val="es-AR"/>
        </w:rPr>
      </w:pPr>
      <w:r>
        <w:rPr>
          <w:noProof/>
          <w:lang w:val="es-AR" w:eastAsia="es-AR"/>
        </w:rPr>
        <w:lastRenderedPageBreak/>
        <w:drawing>
          <wp:inline distT="0" distB="0" distL="0" distR="0">
            <wp:extent cx="5605780" cy="54622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5462270"/>
                    </a:xfrm>
                    <a:prstGeom prst="rect">
                      <a:avLst/>
                    </a:prstGeom>
                    <a:noFill/>
                    <a:ln>
                      <a:noFill/>
                    </a:ln>
                  </pic:spPr>
                </pic:pic>
              </a:graphicData>
            </a:graphic>
          </wp:inline>
        </w:drawing>
      </w:r>
    </w:p>
    <w:p w:rsidR="0041518A" w:rsidRPr="00CD5994" w:rsidRDefault="0041518A" w:rsidP="00101901">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La identificación del síndrome metabólico en la práctica clínica por medio de los criterios de diagnóstico del ATP III nos provee una herramienta importante para predecir eventos cardiovasculares. Su presencia aumenta tres veces los riesgos para enfermedad cardiovascular</w:t>
      </w:r>
      <w:proofErr w:type="gramStart"/>
      <w:r w:rsidRPr="00CD5994">
        <w:rPr>
          <w:rFonts w:ascii="Calibri" w:hAnsi="Calibri"/>
          <w:color w:val="000000"/>
          <w:sz w:val="22"/>
          <w:szCs w:val="22"/>
          <w:lang w:val="es-AR"/>
        </w:rPr>
        <w:t>.(</w:t>
      </w:r>
      <w:proofErr w:type="gramEnd"/>
      <w:r w:rsidRPr="00CD5994">
        <w:rPr>
          <w:rFonts w:ascii="Calibri" w:hAnsi="Calibri"/>
          <w:color w:val="000000"/>
          <w:sz w:val="22"/>
          <w:szCs w:val="22"/>
          <w:lang w:val="es-AR"/>
        </w:rPr>
        <w:t>6)</w:t>
      </w:r>
    </w:p>
    <w:p w:rsidR="0041518A" w:rsidRPr="00CD5994" w:rsidRDefault="0041518A" w:rsidP="00101901">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 xml:space="preserve">El año 2009, representantes de la International Diabetes </w:t>
      </w:r>
      <w:proofErr w:type="spellStart"/>
      <w:r w:rsidRPr="00CD5994">
        <w:rPr>
          <w:rFonts w:ascii="Calibri" w:hAnsi="Calibri"/>
          <w:color w:val="000000"/>
          <w:sz w:val="22"/>
          <w:szCs w:val="22"/>
          <w:lang w:val="es-AR"/>
        </w:rPr>
        <w:t>Federation</w:t>
      </w:r>
      <w:proofErr w:type="spellEnd"/>
      <w:r w:rsidRPr="00CD5994">
        <w:rPr>
          <w:rFonts w:ascii="Calibri" w:hAnsi="Calibri"/>
          <w:color w:val="000000"/>
          <w:sz w:val="22"/>
          <w:szCs w:val="22"/>
          <w:lang w:val="es-AR"/>
        </w:rPr>
        <w:t xml:space="preserve"> (IDF) y de American </w:t>
      </w:r>
      <w:proofErr w:type="spellStart"/>
      <w:r w:rsidRPr="00CD5994">
        <w:rPr>
          <w:rFonts w:ascii="Calibri" w:hAnsi="Calibri"/>
          <w:color w:val="000000"/>
          <w:sz w:val="22"/>
          <w:szCs w:val="22"/>
          <w:lang w:val="es-AR"/>
        </w:rPr>
        <w:t>HeartAssociation</w:t>
      </w:r>
      <w:proofErr w:type="spellEnd"/>
      <w:r w:rsidRPr="00CD5994">
        <w:rPr>
          <w:rFonts w:ascii="Calibri" w:hAnsi="Calibri"/>
          <w:color w:val="000000"/>
          <w:sz w:val="22"/>
          <w:szCs w:val="22"/>
          <w:lang w:val="es-AR"/>
        </w:rPr>
        <w:t>/</w:t>
      </w:r>
      <w:proofErr w:type="spellStart"/>
      <w:r w:rsidRPr="00CD5994">
        <w:rPr>
          <w:rFonts w:ascii="Calibri" w:hAnsi="Calibri"/>
          <w:color w:val="000000"/>
          <w:sz w:val="22"/>
          <w:szCs w:val="22"/>
          <w:lang w:val="es-AR"/>
        </w:rPr>
        <w:t>NationalHeart</w:t>
      </w:r>
      <w:proofErr w:type="spellEnd"/>
      <w:r w:rsidRPr="00CD5994">
        <w:rPr>
          <w:rFonts w:ascii="Calibri" w:hAnsi="Calibri"/>
          <w:color w:val="000000"/>
          <w:sz w:val="22"/>
          <w:szCs w:val="22"/>
          <w:lang w:val="es-AR"/>
        </w:rPr>
        <w:t xml:space="preserve">, </w:t>
      </w:r>
      <w:proofErr w:type="spellStart"/>
      <w:r w:rsidRPr="00CD5994">
        <w:rPr>
          <w:rFonts w:ascii="Calibri" w:hAnsi="Calibri"/>
          <w:color w:val="000000"/>
          <w:sz w:val="22"/>
          <w:szCs w:val="22"/>
          <w:lang w:val="es-AR"/>
        </w:rPr>
        <w:t>Lung</w:t>
      </w:r>
      <w:proofErr w:type="spellEnd"/>
      <w:r w:rsidRPr="00CD5994">
        <w:rPr>
          <w:rFonts w:ascii="Calibri" w:hAnsi="Calibri"/>
          <w:color w:val="000000"/>
          <w:sz w:val="22"/>
          <w:szCs w:val="22"/>
          <w:lang w:val="es-AR"/>
        </w:rPr>
        <w:t xml:space="preserve">, and </w:t>
      </w:r>
      <w:proofErr w:type="spellStart"/>
      <w:r w:rsidRPr="00CD5994">
        <w:rPr>
          <w:rFonts w:ascii="Calibri" w:hAnsi="Calibri"/>
          <w:color w:val="000000"/>
          <w:sz w:val="22"/>
          <w:szCs w:val="22"/>
          <w:lang w:val="es-AR"/>
        </w:rPr>
        <w:t>BloodInstitute</w:t>
      </w:r>
      <w:proofErr w:type="spellEnd"/>
      <w:r w:rsidRPr="00CD5994">
        <w:rPr>
          <w:rFonts w:ascii="Calibri" w:hAnsi="Calibri"/>
          <w:color w:val="000000"/>
          <w:sz w:val="22"/>
          <w:szCs w:val="22"/>
          <w:lang w:val="es-AR"/>
        </w:rPr>
        <w:t xml:space="preserve"> (AHA/NHLBI) -Guías del ATP III discutieron resolver </w:t>
      </w:r>
      <w:proofErr w:type="gramStart"/>
      <w:r w:rsidRPr="00CD5994">
        <w:rPr>
          <w:rFonts w:ascii="Calibri" w:hAnsi="Calibri"/>
          <w:color w:val="000000"/>
          <w:sz w:val="22"/>
          <w:szCs w:val="22"/>
          <w:lang w:val="es-AR"/>
        </w:rPr>
        <w:t>las diferencia</w:t>
      </w:r>
      <w:proofErr w:type="gramEnd"/>
      <w:r w:rsidRPr="00CD5994">
        <w:rPr>
          <w:rFonts w:ascii="Calibri" w:hAnsi="Calibri"/>
          <w:color w:val="000000"/>
          <w:sz w:val="22"/>
          <w:szCs w:val="22"/>
          <w:lang w:val="es-AR"/>
        </w:rPr>
        <w:t xml:space="preserve"> entre las definiciones del síndrome metabólico, llegando a unificar criterios. Esta unificación de criterios fue publicada bajo el título de </w:t>
      </w:r>
      <w:proofErr w:type="spellStart"/>
      <w:r w:rsidRPr="00CD5994">
        <w:rPr>
          <w:rFonts w:ascii="Calibri" w:hAnsi="Calibri"/>
          <w:color w:val="000000"/>
          <w:sz w:val="22"/>
          <w:szCs w:val="22"/>
          <w:lang w:val="es-AR"/>
        </w:rPr>
        <w:t>HarmonizingtheMetabolicSyndrome</w:t>
      </w:r>
      <w:proofErr w:type="spellEnd"/>
      <w:r w:rsidRPr="00CD5994">
        <w:rPr>
          <w:rFonts w:ascii="Calibri" w:hAnsi="Calibri"/>
          <w:color w:val="000000"/>
          <w:sz w:val="22"/>
          <w:szCs w:val="22"/>
          <w:lang w:val="es-AR"/>
        </w:rPr>
        <w:t xml:space="preserve"> o Armonización </w:t>
      </w:r>
      <w:proofErr w:type="spellStart"/>
      <w:r w:rsidRPr="00CD5994">
        <w:rPr>
          <w:rFonts w:ascii="Calibri" w:hAnsi="Calibri"/>
          <w:color w:val="000000"/>
          <w:sz w:val="22"/>
          <w:szCs w:val="22"/>
          <w:lang w:val="es-AR"/>
        </w:rPr>
        <w:t>delSíndrome</w:t>
      </w:r>
      <w:proofErr w:type="spellEnd"/>
      <w:r w:rsidRPr="00CD5994">
        <w:rPr>
          <w:rFonts w:ascii="Calibri" w:hAnsi="Calibri"/>
          <w:color w:val="000000"/>
          <w:sz w:val="22"/>
          <w:szCs w:val="22"/>
          <w:lang w:val="es-AR"/>
        </w:rPr>
        <w:t xml:space="preserve"> Metabólico, en la revista </w:t>
      </w:r>
      <w:proofErr w:type="spellStart"/>
      <w:r w:rsidRPr="00CD5994">
        <w:rPr>
          <w:rFonts w:ascii="Calibri" w:hAnsi="Calibri"/>
          <w:color w:val="000000"/>
          <w:sz w:val="22"/>
          <w:szCs w:val="22"/>
          <w:lang w:val="es-AR"/>
        </w:rPr>
        <w:t>Circulation</w:t>
      </w:r>
      <w:proofErr w:type="spellEnd"/>
      <w:r w:rsidRPr="00CD5994">
        <w:rPr>
          <w:rFonts w:ascii="Calibri" w:hAnsi="Calibri"/>
          <w:color w:val="000000"/>
          <w:sz w:val="22"/>
          <w:szCs w:val="22"/>
          <w:lang w:val="es-AR"/>
        </w:rPr>
        <w:t xml:space="preserve"> en su edición de diciembre del </w:t>
      </w:r>
      <w:r w:rsidR="00845452">
        <w:rPr>
          <w:rFonts w:ascii="Calibri" w:hAnsi="Calibri"/>
          <w:color w:val="000000"/>
          <w:sz w:val="22"/>
          <w:szCs w:val="22"/>
          <w:lang w:val="es-AR"/>
        </w:rPr>
        <w:t xml:space="preserve">año 2009 </w:t>
      </w:r>
      <w:r w:rsidRPr="00CD5994">
        <w:rPr>
          <w:rFonts w:ascii="Calibri" w:hAnsi="Calibri"/>
          <w:color w:val="000000"/>
          <w:sz w:val="22"/>
          <w:szCs w:val="22"/>
          <w:lang w:val="es-AR"/>
        </w:rPr>
        <w:t>, donde se consideró al perímetro abdominal como uno más de los componentes diagnósticos del SM, no siendo prioridad su presencia para el diagnóstico.</w:t>
      </w:r>
    </w:p>
    <w:p w:rsidR="0041518A" w:rsidRPr="00CD5994" w:rsidRDefault="0041518A" w:rsidP="00CA0496">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lastRenderedPageBreak/>
        <w:t>El diagnóstico actual de síndrome metabólico según la unificación de criterios (</w:t>
      </w:r>
      <w:proofErr w:type="spellStart"/>
      <w:r w:rsidRPr="00CD5994">
        <w:rPr>
          <w:rFonts w:ascii="Calibri" w:hAnsi="Calibri"/>
          <w:color w:val="000000"/>
          <w:sz w:val="22"/>
          <w:szCs w:val="22"/>
          <w:lang w:val="es-AR"/>
        </w:rPr>
        <w:t>Harmonizing</w:t>
      </w:r>
      <w:proofErr w:type="spellEnd"/>
      <w:r w:rsidR="00101901">
        <w:rPr>
          <w:rFonts w:ascii="Calibri" w:hAnsi="Calibri"/>
          <w:color w:val="000000"/>
          <w:sz w:val="22"/>
          <w:szCs w:val="22"/>
          <w:lang w:val="es-AR"/>
        </w:rPr>
        <w:t xml:space="preserve"> </w:t>
      </w:r>
      <w:proofErr w:type="spellStart"/>
      <w:r w:rsidRPr="00CD5994">
        <w:rPr>
          <w:rFonts w:ascii="Calibri" w:hAnsi="Calibri"/>
          <w:color w:val="000000"/>
          <w:sz w:val="22"/>
          <w:szCs w:val="22"/>
          <w:lang w:val="es-AR"/>
        </w:rPr>
        <w:t>the</w:t>
      </w:r>
      <w:proofErr w:type="spellEnd"/>
      <w:r w:rsidR="00101901">
        <w:rPr>
          <w:rFonts w:ascii="Calibri" w:hAnsi="Calibri"/>
          <w:color w:val="000000"/>
          <w:sz w:val="22"/>
          <w:szCs w:val="22"/>
          <w:lang w:val="es-AR"/>
        </w:rPr>
        <w:t xml:space="preserve"> </w:t>
      </w:r>
      <w:proofErr w:type="spellStart"/>
      <w:r w:rsidRPr="00CD5994">
        <w:rPr>
          <w:rFonts w:ascii="Calibri" w:hAnsi="Calibri"/>
          <w:color w:val="000000"/>
          <w:sz w:val="22"/>
          <w:szCs w:val="22"/>
          <w:lang w:val="es-AR"/>
        </w:rPr>
        <w:t>Metabolic</w:t>
      </w:r>
      <w:proofErr w:type="spellEnd"/>
      <w:r w:rsidR="00101901">
        <w:rPr>
          <w:rFonts w:ascii="Calibri" w:hAnsi="Calibri"/>
          <w:color w:val="000000"/>
          <w:sz w:val="22"/>
          <w:szCs w:val="22"/>
          <w:lang w:val="es-AR"/>
        </w:rPr>
        <w:t xml:space="preserve"> </w:t>
      </w:r>
      <w:proofErr w:type="spellStart"/>
      <w:r w:rsidRPr="00CD5994">
        <w:rPr>
          <w:rFonts w:ascii="Calibri" w:hAnsi="Calibri"/>
          <w:color w:val="000000"/>
          <w:sz w:val="22"/>
          <w:szCs w:val="22"/>
          <w:lang w:val="es-AR"/>
        </w:rPr>
        <w:t>Syndrome</w:t>
      </w:r>
      <w:proofErr w:type="spellEnd"/>
      <w:r w:rsidRPr="00CD5994">
        <w:rPr>
          <w:rFonts w:ascii="Calibri" w:hAnsi="Calibri"/>
          <w:color w:val="000000"/>
          <w:sz w:val="22"/>
          <w:szCs w:val="22"/>
          <w:lang w:val="es-AR"/>
        </w:rPr>
        <w:t xml:space="preserve">) </w:t>
      </w:r>
      <w:r w:rsidR="00101901">
        <w:rPr>
          <w:rFonts w:ascii="Calibri" w:hAnsi="Calibri"/>
          <w:color w:val="000000"/>
          <w:sz w:val="22"/>
          <w:szCs w:val="22"/>
          <w:lang w:val="es-AR"/>
        </w:rPr>
        <w:t>se basa en</w:t>
      </w:r>
      <w:r w:rsidRPr="00CD5994">
        <w:rPr>
          <w:rFonts w:ascii="Calibri" w:hAnsi="Calibri"/>
          <w:color w:val="000000"/>
          <w:sz w:val="22"/>
          <w:szCs w:val="22"/>
          <w:lang w:val="es-AR"/>
        </w:rPr>
        <w:t>:</w:t>
      </w:r>
    </w:p>
    <w:p w:rsidR="0041518A" w:rsidRPr="00CD5994" w:rsidRDefault="0041518A" w:rsidP="00CA0496">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Incremento de la circunferencia abdominal: definición específica para la población y país.</w:t>
      </w:r>
    </w:p>
    <w:p w:rsidR="0041518A" w:rsidRPr="00CD5994" w:rsidRDefault="0041518A" w:rsidP="00CA0496">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Elevación de triglicéridos: mayores o iguales 150 mg/</w:t>
      </w:r>
      <w:proofErr w:type="spellStart"/>
      <w:r w:rsidRPr="00CD5994">
        <w:rPr>
          <w:rFonts w:ascii="Calibri" w:hAnsi="Calibri"/>
          <w:color w:val="000000"/>
          <w:sz w:val="22"/>
          <w:szCs w:val="22"/>
          <w:lang w:val="es-AR"/>
        </w:rPr>
        <w:t>dL</w:t>
      </w:r>
      <w:proofErr w:type="spellEnd"/>
      <w:r w:rsidRPr="00CD5994">
        <w:rPr>
          <w:rFonts w:ascii="Calibri" w:hAnsi="Calibri"/>
          <w:color w:val="000000"/>
          <w:sz w:val="22"/>
          <w:szCs w:val="22"/>
          <w:lang w:val="es-AR"/>
        </w:rPr>
        <w:t xml:space="preserve"> (o en tratamiento </w:t>
      </w:r>
      <w:proofErr w:type="spellStart"/>
      <w:r w:rsidRPr="00CD5994">
        <w:rPr>
          <w:rFonts w:ascii="Calibri" w:hAnsi="Calibri"/>
          <w:color w:val="000000"/>
          <w:sz w:val="22"/>
          <w:szCs w:val="22"/>
          <w:lang w:val="es-AR"/>
        </w:rPr>
        <w:t>hipolipemiante</w:t>
      </w:r>
      <w:proofErr w:type="spellEnd"/>
      <w:r w:rsidRPr="00CD5994">
        <w:rPr>
          <w:rFonts w:ascii="Calibri" w:hAnsi="Calibri"/>
          <w:color w:val="000000"/>
          <w:sz w:val="22"/>
          <w:szCs w:val="22"/>
          <w:lang w:val="es-AR"/>
        </w:rPr>
        <w:t xml:space="preserve"> especifico).</w:t>
      </w:r>
    </w:p>
    <w:p w:rsidR="0041518A" w:rsidRPr="00CD5994" w:rsidRDefault="0041518A" w:rsidP="00CA0496">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Disminución del colesterol HDL: menor de 40 mg% en hombres o menor de 50 mg% en mujeres (o en tratamiento con efecto sobre el HDL).</w:t>
      </w:r>
    </w:p>
    <w:p w:rsidR="0041518A" w:rsidRPr="00CD5994" w:rsidRDefault="0041518A" w:rsidP="00CA0496">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 xml:space="preserve">Elevación de la presión arterial: presión arterial sistólica (PAS) mayor o igual a 130 </w:t>
      </w:r>
      <w:proofErr w:type="spellStart"/>
      <w:r w:rsidRPr="00CD5994">
        <w:rPr>
          <w:rFonts w:ascii="Calibri" w:hAnsi="Calibri"/>
          <w:color w:val="000000"/>
          <w:sz w:val="22"/>
          <w:szCs w:val="22"/>
          <w:lang w:val="es-AR"/>
        </w:rPr>
        <w:t>mmHg</w:t>
      </w:r>
      <w:proofErr w:type="spellEnd"/>
      <w:r w:rsidRPr="00CD5994">
        <w:rPr>
          <w:rFonts w:ascii="Calibri" w:hAnsi="Calibri"/>
          <w:color w:val="000000"/>
          <w:sz w:val="22"/>
          <w:szCs w:val="22"/>
          <w:lang w:val="es-AR"/>
        </w:rPr>
        <w:t xml:space="preserve"> y/o PAD mayor o igual a 85 mmHg (o en tratamiento antihipertensivo).</w:t>
      </w:r>
    </w:p>
    <w:p w:rsidR="0041518A" w:rsidRPr="00CD5994" w:rsidRDefault="0041518A" w:rsidP="00CA0496">
      <w:pPr>
        <w:pStyle w:val="NormalWeb"/>
        <w:spacing w:line="276" w:lineRule="auto"/>
        <w:jc w:val="both"/>
        <w:rPr>
          <w:rFonts w:ascii="Calibri" w:hAnsi="Calibri"/>
          <w:color w:val="000000"/>
          <w:sz w:val="22"/>
          <w:szCs w:val="22"/>
          <w:lang w:val="es-AR"/>
        </w:rPr>
      </w:pPr>
      <w:r w:rsidRPr="00CD5994">
        <w:rPr>
          <w:rFonts w:ascii="Calibri" w:hAnsi="Calibri"/>
          <w:color w:val="000000"/>
          <w:sz w:val="22"/>
          <w:szCs w:val="22"/>
          <w:lang w:val="es-AR"/>
        </w:rPr>
        <w:t>Elevación de la glucosa de ayunas: mayor o igual a 100 mg/</w:t>
      </w:r>
      <w:proofErr w:type="spellStart"/>
      <w:r w:rsidRPr="00CD5994">
        <w:rPr>
          <w:rFonts w:ascii="Calibri" w:hAnsi="Calibri"/>
          <w:color w:val="000000"/>
          <w:sz w:val="22"/>
          <w:szCs w:val="22"/>
          <w:lang w:val="es-AR"/>
        </w:rPr>
        <w:t>dL</w:t>
      </w:r>
      <w:proofErr w:type="spellEnd"/>
      <w:r w:rsidRPr="00CD5994">
        <w:rPr>
          <w:rFonts w:ascii="Calibri" w:hAnsi="Calibri"/>
          <w:color w:val="000000"/>
          <w:sz w:val="22"/>
          <w:szCs w:val="22"/>
          <w:lang w:val="es-AR"/>
        </w:rPr>
        <w:t xml:space="preserve"> (o en tratamiento con fármacos por elevación de glucosa).</w:t>
      </w:r>
    </w:p>
    <w:p w:rsidR="0041518A" w:rsidRPr="00962782" w:rsidRDefault="0041518A" w:rsidP="00CA0496">
      <w:pPr>
        <w:pStyle w:val="NormalWeb"/>
        <w:spacing w:line="276" w:lineRule="auto"/>
        <w:jc w:val="both"/>
        <w:rPr>
          <w:rFonts w:ascii="Calibri" w:hAnsi="Calibri"/>
          <w:b/>
          <w:color w:val="000000"/>
          <w:sz w:val="22"/>
          <w:szCs w:val="22"/>
          <w:lang w:val="es-AR"/>
        </w:rPr>
      </w:pPr>
      <w:r w:rsidRPr="00962782">
        <w:rPr>
          <w:rFonts w:ascii="Calibri" w:hAnsi="Calibri"/>
          <w:b/>
          <w:color w:val="000000"/>
          <w:sz w:val="22"/>
          <w:szCs w:val="22"/>
          <w:lang w:val="es-AR"/>
        </w:rPr>
        <w:t>El diagnóstico de síndrome metabólico se realiza con la presencia de tres de los cinco componentes propuestos.</w:t>
      </w:r>
    </w:p>
    <w:p w:rsidR="00583EC8" w:rsidRPr="00CD5994" w:rsidRDefault="00583EC8" w:rsidP="00583EC8">
      <w:pPr>
        <w:autoSpaceDE w:val="0"/>
        <w:autoSpaceDN w:val="0"/>
        <w:adjustRightInd w:val="0"/>
        <w:spacing w:after="0" w:line="240" w:lineRule="auto"/>
        <w:rPr>
          <w:rFonts w:eastAsia="Times New Roman" w:cs="Arial"/>
          <w:color w:val="000000"/>
          <w:lang w:val="es-ES" w:eastAsia="es-ES"/>
        </w:rPr>
      </w:pPr>
    </w:p>
    <w:p w:rsidR="00F527A3" w:rsidRPr="00CD5994" w:rsidRDefault="00F527A3" w:rsidP="002F609B">
      <w:pPr>
        <w:spacing w:after="0"/>
        <w:ind w:left="720"/>
        <w:rPr>
          <w:lang w:val="es-AR"/>
        </w:rPr>
      </w:pPr>
    </w:p>
    <w:p w:rsidR="008F799C" w:rsidRPr="00CD5994" w:rsidRDefault="008F799C" w:rsidP="008F799C">
      <w:pPr>
        <w:autoSpaceDE w:val="0"/>
        <w:autoSpaceDN w:val="0"/>
        <w:adjustRightInd w:val="0"/>
        <w:spacing w:after="0" w:line="240" w:lineRule="auto"/>
        <w:rPr>
          <w:rFonts w:eastAsia="Times New Roman" w:cs="Arial"/>
          <w:b/>
          <w:bCs/>
          <w:color w:val="000000"/>
          <w:lang w:val="es-ES" w:eastAsia="es-ES"/>
        </w:rPr>
      </w:pPr>
      <w:r w:rsidRPr="00CD5994">
        <w:rPr>
          <w:rFonts w:eastAsia="Times New Roman" w:cs="Arial"/>
          <w:b/>
          <w:bCs/>
          <w:color w:val="000000"/>
          <w:lang w:val="es-ES" w:eastAsia="es-ES"/>
        </w:rPr>
        <w:t xml:space="preserve">Síndrome Metabólico en pacientes con EPOC, datos de Argentina: </w:t>
      </w:r>
    </w:p>
    <w:p w:rsidR="008F799C" w:rsidRPr="00CD5994" w:rsidRDefault="008F799C" w:rsidP="008F799C">
      <w:pPr>
        <w:autoSpaceDE w:val="0"/>
        <w:autoSpaceDN w:val="0"/>
        <w:adjustRightInd w:val="0"/>
        <w:spacing w:after="0" w:line="240" w:lineRule="auto"/>
        <w:rPr>
          <w:rFonts w:eastAsia="Times New Roman" w:cs="Arial"/>
          <w:color w:val="000000"/>
          <w:lang w:val="es-ES" w:eastAsia="es-ES"/>
        </w:rPr>
      </w:pPr>
    </w:p>
    <w:p w:rsidR="00F70140" w:rsidRDefault="008F799C" w:rsidP="00CA0496">
      <w:pPr>
        <w:jc w:val="both"/>
        <w:rPr>
          <w:rFonts w:eastAsia="Times New Roman" w:cs="Arial"/>
          <w:color w:val="000000"/>
          <w:lang w:val="es-ES" w:eastAsia="es-ES"/>
        </w:rPr>
      </w:pPr>
      <w:r w:rsidRPr="00CD5994">
        <w:rPr>
          <w:rFonts w:eastAsia="Times New Roman" w:cs="Arial"/>
          <w:color w:val="000000"/>
          <w:lang w:val="es-ES" w:eastAsia="es-ES"/>
        </w:rPr>
        <w:t xml:space="preserve">Realizamos un estudio observacional, transversal prospectivo mediante una evaluación que incluyó anamnesis sistematizada, examen físico con antropometría, análisis de laboratorio, y pruebas de función pulmonar en pacientes con diagnóstico de EPOC según criterios de GOLD sin </w:t>
      </w:r>
      <w:proofErr w:type="spellStart"/>
      <w:r w:rsidRPr="00CD5994">
        <w:rPr>
          <w:rFonts w:eastAsia="Times New Roman" w:cs="Arial"/>
          <w:color w:val="000000"/>
          <w:lang w:val="es-ES" w:eastAsia="es-ES"/>
        </w:rPr>
        <w:t>intercurrencias</w:t>
      </w:r>
      <w:proofErr w:type="spellEnd"/>
      <w:r w:rsidRPr="00CD5994">
        <w:rPr>
          <w:rFonts w:eastAsia="Times New Roman" w:cs="Arial"/>
          <w:color w:val="000000"/>
          <w:lang w:val="es-ES" w:eastAsia="es-ES"/>
        </w:rPr>
        <w:t xml:space="preserve"> agudas en el último mes en el </w:t>
      </w:r>
      <w:proofErr w:type="spellStart"/>
      <w:r w:rsidRPr="00CD5994">
        <w:rPr>
          <w:rFonts w:eastAsia="Times New Roman" w:cs="Arial"/>
          <w:color w:val="000000"/>
          <w:lang w:val="es-ES" w:eastAsia="es-ES"/>
        </w:rPr>
        <w:t>Htal</w:t>
      </w:r>
      <w:proofErr w:type="spellEnd"/>
      <w:r w:rsidRPr="00CD5994">
        <w:rPr>
          <w:rFonts w:eastAsia="Times New Roman" w:cs="Arial"/>
          <w:color w:val="000000"/>
          <w:lang w:val="es-ES" w:eastAsia="es-ES"/>
        </w:rPr>
        <w:t xml:space="preserve"> “Dr. </w:t>
      </w:r>
      <w:proofErr w:type="spellStart"/>
      <w:r w:rsidRPr="00CD5994">
        <w:rPr>
          <w:rFonts w:eastAsia="Times New Roman" w:cs="Arial"/>
          <w:color w:val="000000"/>
          <w:lang w:val="es-ES" w:eastAsia="es-ES"/>
        </w:rPr>
        <w:t>A.A.Cetrángolo</w:t>
      </w:r>
      <w:proofErr w:type="spellEnd"/>
      <w:r w:rsidRPr="00CD5994">
        <w:rPr>
          <w:rFonts w:eastAsia="Times New Roman" w:cs="Arial"/>
          <w:color w:val="000000"/>
          <w:lang w:val="es-ES" w:eastAsia="es-ES"/>
        </w:rPr>
        <w:t xml:space="preserve">” entre enero de 2009 y marzo de 2011. Consideramos SM según criterios de la International Diabetes </w:t>
      </w:r>
      <w:proofErr w:type="spellStart"/>
      <w:r w:rsidRPr="00CD5994">
        <w:rPr>
          <w:rFonts w:eastAsia="Times New Roman" w:cs="Arial"/>
          <w:color w:val="000000"/>
          <w:lang w:val="es-ES" w:eastAsia="es-ES"/>
        </w:rPr>
        <w:t>Federation</w:t>
      </w:r>
      <w:proofErr w:type="spellEnd"/>
      <w:r w:rsidRPr="00CD5994">
        <w:rPr>
          <w:rFonts w:eastAsia="Times New Roman" w:cs="Arial"/>
          <w:color w:val="000000"/>
          <w:lang w:val="es-ES" w:eastAsia="es-ES"/>
        </w:rPr>
        <w:t xml:space="preserve"> (IDF). Evaluamos frecuencia de SM, </w:t>
      </w:r>
      <w:proofErr w:type="spellStart"/>
      <w:r w:rsidRPr="00CD5994">
        <w:rPr>
          <w:rFonts w:eastAsia="Times New Roman" w:cs="Arial"/>
          <w:color w:val="000000"/>
          <w:lang w:val="es-ES" w:eastAsia="es-ES"/>
        </w:rPr>
        <w:t>insulinorresistencia</w:t>
      </w:r>
      <w:proofErr w:type="spellEnd"/>
      <w:r w:rsidRPr="00CD5994">
        <w:rPr>
          <w:rFonts w:eastAsia="Times New Roman" w:cs="Arial"/>
          <w:color w:val="000000"/>
          <w:lang w:val="es-ES" w:eastAsia="es-ES"/>
        </w:rPr>
        <w:t xml:space="preserve"> a través del índice HOMA-IR y el índice Triglicéridos /Colesterol HDL (TG/</w:t>
      </w:r>
      <w:proofErr w:type="spellStart"/>
      <w:r w:rsidRPr="00CD5994">
        <w:rPr>
          <w:rFonts w:eastAsia="Times New Roman" w:cs="Arial"/>
          <w:color w:val="000000"/>
          <w:lang w:val="es-ES" w:eastAsia="es-ES"/>
        </w:rPr>
        <w:t>cHDL</w:t>
      </w:r>
      <w:proofErr w:type="spellEnd"/>
      <w:r w:rsidRPr="00CD5994">
        <w:rPr>
          <w:rFonts w:eastAsia="Times New Roman" w:cs="Arial"/>
          <w:color w:val="000000"/>
          <w:lang w:val="es-ES" w:eastAsia="es-ES"/>
        </w:rPr>
        <w:t>). Incluimos 113 pacientes, con una media de edad fue de 63,1 + 8,3 años. Sexo femenino 33 (28.9%). Tabaquismo actual 18,6% y una Intensidad de Tabaquismo 56,1 + 29,2 p/</w:t>
      </w:r>
      <w:proofErr w:type="spellStart"/>
      <w:r w:rsidRPr="00CD5994">
        <w:rPr>
          <w:rFonts w:eastAsia="Times New Roman" w:cs="Arial"/>
          <w:color w:val="000000"/>
          <w:lang w:val="es-ES" w:eastAsia="es-ES"/>
        </w:rPr>
        <w:t>yr</w:t>
      </w:r>
      <w:proofErr w:type="spellEnd"/>
      <w:r w:rsidRPr="00CD5994">
        <w:rPr>
          <w:rFonts w:eastAsia="Times New Roman" w:cs="Arial"/>
          <w:color w:val="000000"/>
          <w:lang w:val="es-ES" w:eastAsia="es-ES"/>
        </w:rPr>
        <w:t xml:space="preserve">. Tiempo de cese 7,4 + 7,7 años. La </w:t>
      </w:r>
      <w:proofErr w:type="spellStart"/>
      <w:r w:rsidRPr="00CD5994">
        <w:rPr>
          <w:rFonts w:eastAsia="Times New Roman" w:cs="Arial"/>
          <w:color w:val="000000"/>
          <w:lang w:val="es-ES" w:eastAsia="es-ES"/>
        </w:rPr>
        <w:t>insulinemia</w:t>
      </w:r>
      <w:proofErr w:type="spellEnd"/>
      <w:r w:rsidRPr="00CD5994">
        <w:rPr>
          <w:rFonts w:eastAsia="Times New Roman" w:cs="Arial"/>
          <w:color w:val="000000"/>
          <w:lang w:val="es-ES" w:eastAsia="es-ES"/>
        </w:rPr>
        <w:t xml:space="preserve"> fue 10,1 + 14,4μU/ml; HOMA-IR 2,6 + 5,2, TG/</w:t>
      </w:r>
      <w:proofErr w:type="spellStart"/>
      <w:r w:rsidRPr="00CD5994">
        <w:rPr>
          <w:rFonts w:eastAsia="Times New Roman" w:cs="Arial"/>
          <w:color w:val="000000"/>
          <w:lang w:val="es-ES" w:eastAsia="es-ES"/>
        </w:rPr>
        <w:t>cHDL</w:t>
      </w:r>
      <w:proofErr w:type="spellEnd"/>
      <w:r w:rsidRPr="00CD5994">
        <w:rPr>
          <w:rFonts w:eastAsia="Times New Roman" w:cs="Arial"/>
          <w:color w:val="000000"/>
          <w:lang w:val="es-ES" w:eastAsia="es-ES"/>
        </w:rPr>
        <w:t xml:space="preserve"> 2,02+1,42. </w:t>
      </w:r>
    </w:p>
    <w:p w:rsidR="00E22AE8" w:rsidRDefault="008F799C" w:rsidP="00CA0496">
      <w:pPr>
        <w:jc w:val="both"/>
        <w:rPr>
          <w:rFonts w:eastAsia="Times New Roman" w:cs="Arial"/>
          <w:color w:val="000000"/>
          <w:lang w:val="es-ES" w:eastAsia="es-ES"/>
        </w:rPr>
      </w:pPr>
      <w:r w:rsidRPr="00CD5994">
        <w:rPr>
          <w:rFonts w:eastAsia="Times New Roman" w:cs="Arial"/>
          <w:color w:val="000000"/>
          <w:lang w:val="es-ES" w:eastAsia="es-ES"/>
        </w:rPr>
        <w:t xml:space="preserve">En esta muestra presentaban SM el 37,2%. </w:t>
      </w:r>
    </w:p>
    <w:p w:rsidR="005D3851" w:rsidRPr="00CD5994" w:rsidRDefault="005D3851" w:rsidP="008F799C">
      <w:pPr>
        <w:rPr>
          <w:lang w:val="es-AR"/>
        </w:rPr>
      </w:pPr>
      <w:r>
        <w:rPr>
          <w:rFonts w:ascii="Arial" w:hAnsi="Arial" w:cs="Arial"/>
          <w:noProof/>
          <w:sz w:val="24"/>
          <w:szCs w:val="24"/>
          <w:lang w:val="es-AR" w:eastAsia="es-AR"/>
        </w:rPr>
        <w:lastRenderedPageBreak/>
        <w:drawing>
          <wp:inline distT="0" distB="0" distL="0" distR="0">
            <wp:extent cx="4667250" cy="2663825"/>
            <wp:effectExtent l="0" t="0" r="0" b="0"/>
            <wp:docPr id="1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533FB" w:rsidRDefault="008533FB" w:rsidP="00CA0496">
      <w:pPr>
        <w:jc w:val="both"/>
        <w:rPr>
          <w:lang w:val="es-AR"/>
        </w:rPr>
      </w:pPr>
      <w:r>
        <w:rPr>
          <w:lang w:val="es-AR"/>
        </w:rPr>
        <w:t xml:space="preserve">Componentes del SM </w:t>
      </w:r>
      <w:proofErr w:type="gramStart"/>
      <w:r>
        <w:rPr>
          <w:lang w:val="es-AR"/>
        </w:rPr>
        <w:t>( en</w:t>
      </w:r>
      <w:proofErr w:type="gramEnd"/>
      <w:r>
        <w:rPr>
          <w:lang w:val="es-AR"/>
        </w:rPr>
        <w:t xml:space="preserve"> porcentajes)</w:t>
      </w:r>
    </w:p>
    <w:p w:rsidR="00F70140" w:rsidRDefault="00D639A7" w:rsidP="00CA0496">
      <w:pPr>
        <w:jc w:val="both"/>
        <w:rPr>
          <w:lang w:val="es-AR"/>
        </w:rPr>
      </w:pPr>
      <w:r w:rsidRPr="00CD5994">
        <w:rPr>
          <w:lang w:val="es-AR"/>
        </w:rPr>
        <w:t>Encontramos SM en más de un tercio de los</w:t>
      </w:r>
      <w:r w:rsidR="00962782">
        <w:rPr>
          <w:lang w:val="es-AR"/>
        </w:rPr>
        <w:t xml:space="preserve"> casos y un alto porcentaje de f</w:t>
      </w:r>
      <w:r w:rsidRPr="00CD5994">
        <w:rPr>
          <w:lang w:val="es-AR"/>
        </w:rPr>
        <w:t xml:space="preserve">actores de riesgo cardiovascular. El SM correlacionó con </w:t>
      </w:r>
      <w:proofErr w:type="spellStart"/>
      <w:r w:rsidRPr="00CD5994">
        <w:rPr>
          <w:lang w:val="es-AR"/>
        </w:rPr>
        <w:t>insulinorresistencia</w:t>
      </w:r>
      <w:proofErr w:type="spellEnd"/>
      <w:r w:rsidRPr="00CD5994">
        <w:rPr>
          <w:lang w:val="es-AR"/>
        </w:rPr>
        <w:t xml:space="preserve">, el tiempo de cese tabáquico, el grado de severidad de la EPOC, con mayor significación el grado moderado. En el análisis multivalente el SM se asoció a EPOC moderado y mayor IMC. </w:t>
      </w:r>
    </w:p>
    <w:p w:rsidR="00F70140" w:rsidRDefault="00D639A7" w:rsidP="00CA0496">
      <w:pPr>
        <w:jc w:val="both"/>
        <w:rPr>
          <w:rFonts w:eastAsia="Times New Roman" w:cs="Arial"/>
          <w:kern w:val="24"/>
          <w:sz w:val="34"/>
          <w:szCs w:val="34"/>
          <w:lang w:val="es-AR"/>
        </w:rPr>
      </w:pPr>
      <w:r w:rsidRPr="00F70140">
        <w:rPr>
          <w:b/>
          <w:lang w:val="es-AR"/>
        </w:rPr>
        <w:t xml:space="preserve">Concluimos  </w:t>
      </w:r>
      <w:r w:rsidR="00C50F31" w:rsidRPr="00F70140">
        <w:rPr>
          <w:b/>
          <w:lang w:val="es-AR"/>
        </w:rPr>
        <w:t>que es importante evaluar la presencia de SM en los pacientes con EPOC</w:t>
      </w:r>
      <w:r w:rsidR="00C50F31" w:rsidRPr="00CD5994">
        <w:rPr>
          <w:lang w:val="es-AR"/>
        </w:rPr>
        <w:t>.</w:t>
      </w:r>
    </w:p>
    <w:p w:rsidR="0041518A" w:rsidRPr="00100C4C" w:rsidRDefault="00F70140" w:rsidP="00CA0496">
      <w:pPr>
        <w:jc w:val="both"/>
        <w:rPr>
          <w:b/>
          <w:lang w:val="es-AR"/>
        </w:rPr>
      </w:pPr>
      <w:r w:rsidRPr="00100C4C">
        <w:rPr>
          <w:b/>
          <w:lang w:val="es-AR"/>
        </w:rPr>
        <w:t>Recomendaciones de la IDF para el tratamiento del SM:</w:t>
      </w:r>
    </w:p>
    <w:p w:rsidR="00F70140" w:rsidRPr="00F70140" w:rsidRDefault="00F70140" w:rsidP="00CA0496">
      <w:pPr>
        <w:jc w:val="both"/>
        <w:rPr>
          <w:lang w:val="es-AR"/>
        </w:rPr>
      </w:pPr>
      <w:r w:rsidRPr="00F70140">
        <w:rPr>
          <w:b/>
          <w:lang w:val="es-AR"/>
        </w:rPr>
        <w:t>Intervención primaria</w:t>
      </w:r>
      <w:r>
        <w:rPr>
          <w:lang w:val="es-AR"/>
        </w:rPr>
        <w:t>:</w:t>
      </w:r>
    </w:p>
    <w:p w:rsidR="00F70140" w:rsidRDefault="00F70140" w:rsidP="00CA0496">
      <w:pPr>
        <w:jc w:val="both"/>
        <w:rPr>
          <w:lang w:val="es-AR"/>
        </w:rPr>
      </w:pPr>
      <w:r w:rsidRPr="00F70140">
        <w:rPr>
          <w:lang w:val="es-AR"/>
        </w:rPr>
        <w:t>Promoción de estilo de vida saludable. Esto incluye</w:t>
      </w:r>
      <w:r w:rsidR="00CA0496">
        <w:rPr>
          <w:lang w:val="es-AR"/>
        </w:rPr>
        <w:t xml:space="preserve"> una </w:t>
      </w:r>
      <w:r w:rsidRPr="00F70140">
        <w:rPr>
          <w:lang w:val="es-AR"/>
        </w:rPr>
        <w:t>restricción de calorías o (pérdida del 5-10% del peso corporal en el 1er año)</w:t>
      </w:r>
      <w:r w:rsidR="00792280">
        <w:rPr>
          <w:lang w:val="es-AR"/>
        </w:rPr>
        <w:t>,</w:t>
      </w:r>
      <w:r w:rsidRPr="00F70140">
        <w:rPr>
          <w:lang w:val="es-AR"/>
        </w:rPr>
        <w:t xml:space="preserve"> aumento moderado de la actividad física</w:t>
      </w:r>
      <w:r w:rsidR="00792280">
        <w:rPr>
          <w:lang w:val="es-AR"/>
        </w:rPr>
        <w:t xml:space="preserve"> o</w:t>
      </w:r>
      <w:r w:rsidRPr="00F70140">
        <w:rPr>
          <w:lang w:val="es-AR"/>
        </w:rPr>
        <w:t xml:space="preserve"> cambio o en la composición de la dieta</w:t>
      </w:r>
      <w:r w:rsidR="00792280">
        <w:rPr>
          <w:lang w:val="es-AR"/>
        </w:rPr>
        <w:t>.</w:t>
      </w:r>
    </w:p>
    <w:p w:rsidR="00792280" w:rsidRPr="00792280" w:rsidRDefault="00792280" w:rsidP="00792280">
      <w:pPr>
        <w:spacing w:line="240" w:lineRule="auto"/>
        <w:rPr>
          <w:b/>
          <w:lang w:val="es-AR"/>
        </w:rPr>
      </w:pPr>
      <w:r w:rsidRPr="00792280">
        <w:rPr>
          <w:b/>
          <w:lang w:val="es-AR"/>
        </w:rPr>
        <w:t xml:space="preserve">Intervención secundaria: </w:t>
      </w:r>
    </w:p>
    <w:p w:rsidR="00792280" w:rsidRPr="00792280" w:rsidRDefault="00792280" w:rsidP="00CA0496">
      <w:pPr>
        <w:jc w:val="both"/>
        <w:rPr>
          <w:lang w:val="es-AR"/>
        </w:rPr>
      </w:pPr>
      <w:r w:rsidRPr="00792280">
        <w:rPr>
          <w:lang w:val="es-AR"/>
        </w:rPr>
        <w:t xml:space="preserve">En las personas para quienes el cambio de estilo de vida no es suficiente y que se consideran en alto riesgo de enfermedad cardiovascular, el tratamiento farmacológico puede ser necesaria para tratar el síndrome metabólico. </w:t>
      </w:r>
    </w:p>
    <w:p w:rsidR="00792280" w:rsidRDefault="00792280" w:rsidP="00CA0496">
      <w:pPr>
        <w:jc w:val="both"/>
        <w:rPr>
          <w:lang w:val="es-AR"/>
        </w:rPr>
      </w:pPr>
      <w:r w:rsidRPr="00792280">
        <w:rPr>
          <w:lang w:val="es-AR"/>
        </w:rPr>
        <w:t xml:space="preserve">Un solo componente de </w:t>
      </w:r>
      <w:r>
        <w:rPr>
          <w:lang w:val="es-AR"/>
        </w:rPr>
        <w:t>SM</w:t>
      </w:r>
      <w:r w:rsidRPr="00792280">
        <w:rPr>
          <w:lang w:val="es-AR"/>
        </w:rPr>
        <w:t xml:space="preserve"> (</w:t>
      </w:r>
      <w:proofErr w:type="spellStart"/>
      <w:r w:rsidRPr="00792280">
        <w:rPr>
          <w:lang w:val="es-AR"/>
        </w:rPr>
        <w:t>dislipidemia</w:t>
      </w:r>
      <w:proofErr w:type="spellEnd"/>
      <w:r w:rsidRPr="00792280">
        <w:rPr>
          <w:lang w:val="es-AR"/>
        </w:rPr>
        <w:t>, presión arterial elevada, resistencia a la insulina e hiperglu</w:t>
      </w:r>
      <w:r>
        <w:rPr>
          <w:lang w:val="es-AR"/>
        </w:rPr>
        <w:t xml:space="preserve">cemia) deben ser </w:t>
      </w:r>
      <w:proofErr w:type="gramStart"/>
      <w:r>
        <w:rPr>
          <w:lang w:val="es-AR"/>
        </w:rPr>
        <w:t>tratados .</w:t>
      </w:r>
      <w:proofErr w:type="gramEnd"/>
    </w:p>
    <w:p w:rsidR="00D620C9" w:rsidRPr="00575123" w:rsidRDefault="00D620C9" w:rsidP="00CA0496">
      <w:pPr>
        <w:jc w:val="both"/>
        <w:rPr>
          <w:b/>
          <w:lang w:val="es-AR"/>
        </w:rPr>
      </w:pPr>
      <w:r w:rsidRPr="00575123">
        <w:rPr>
          <w:b/>
          <w:lang w:val="es-AR"/>
        </w:rPr>
        <w:t xml:space="preserve">Recomendaciones de la American Diabetes </w:t>
      </w:r>
      <w:proofErr w:type="spellStart"/>
      <w:r w:rsidRPr="00575123">
        <w:rPr>
          <w:b/>
          <w:lang w:val="es-AR"/>
        </w:rPr>
        <w:t>Association</w:t>
      </w:r>
      <w:proofErr w:type="spellEnd"/>
      <w:r w:rsidRPr="00575123">
        <w:rPr>
          <w:b/>
          <w:lang w:val="es-AR"/>
        </w:rPr>
        <w:t xml:space="preserve"> para actividad física en diabetes tipo II:</w:t>
      </w:r>
    </w:p>
    <w:p w:rsidR="000D771B" w:rsidRPr="000D771B" w:rsidRDefault="000D771B" w:rsidP="00CA0496">
      <w:pPr>
        <w:jc w:val="both"/>
        <w:rPr>
          <w:lang w:val="es-AR"/>
        </w:rPr>
      </w:pPr>
      <w:r w:rsidRPr="000D771B">
        <w:rPr>
          <w:lang w:val="es-AR"/>
        </w:rPr>
        <w:t xml:space="preserve">Para mejorar el control glucémico, ayudar con el mantenimiento del peso y reducir el riesgo de enfermedades cardiovasculares, se recomienda al menos 150 min / semana de actividad física aeróbica </w:t>
      </w:r>
      <w:r>
        <w:rPr>
          <w:lang w:val="es-AR"/>
        </w:rPr>
        <w:t xml:space="preserve">de intensidad moderada </w:t>
      </w:r>
      <w:r w:rsidRPr="000D771B">
        <w:rPr>
          <w:lang w:val="es-AR"/>
        </w:rPr>
        <w:t xml:space="preserve">y / o al menos 90 min / semana de ejercicio aeróbico vigoroso. </w:t>
      </w:r>
    </w:p>
    <w:p w:rsidR="000D771B" w:rsidRPr="00CA0496" w:rsidRDefault="000D771B" w:rsidP="00CA0496">
      <w:pPr>
        <w:rPr>
          <w:rFonts w:asciiTheme="minorHAnsi" w:hAnsiTheme="minorHAnsi" w:cstheme="minorHAnsi"/>
          <w:lang w:val="es-AR"/>
        </w:rPr>
      </w:pPr>
      <w:r w:rsidRPr="00CA0496">
        <w:rPr>
          <w:rFonts w:asciiTheme="minorHAnsi" w:hAnsiTheme="minorHAnsi" w:cstheme="minorHAnsi"/>
          <w:lang w:val="es-AR"/>
        </w:rPr>
        <w:lastRenderedPageBreak/>
        <w:t xml:space="preserve"> El ejercicio aeróbico vigorosoy la  resistenciase asocian con una mayor reducción del riesgo de ECV. </w:t>
      </w:r>
    </w:p>
    <w:p w:rsidR="000D771B" w:rsidRPr="00CA0496" w:rsidRDefault="000D771B" w:rsidP="00CA0496">
      <w:pPr>
        <w:rPr>
          <w:rFonts w:asciiTheme="minorHAnsi" w:hAnsiTheme="minorHAnsi" w:cstheme="minorHAnsi"/>
          <w:lang w:val="es-AR"/>
        </w:rPr>
      </w:pPr>
      <w:r w:rsidRPr="00CA0496">
        <w:rPr>
          <w:rFonts w:asciiTheme="minorHAnsi" w:hAnsiTheme="minorHAnsi" w:cstheme="minorHAnsi"/>
          <w:lang w:val="es-AR"/>
        </w:rPr>
        <w:t xml:space="preserve">El mantenimiento a largo plazo de la pérdida de peso es muy importante, así como un mayor volumen de ejercicio  puede ser útil. </w:t>
      </w:r>
    </w:p>
    <w:p w:rsidR="00575123" w:rsidRPr="00CA0496" w:rsidRDefault="00575123" w:rsidP="00CA0496">
      <w:pPr>
        <w:rPr>
          <w:rFonts w:asciiTheme="minorHAnsi" w:hAnsiTheme="minorHAnsi" w:cstheme="minorHAnsi"/>
          <w:lang w:val="es-AR"/>
        </w:rPr>
      </w:pPr>
      <w:r w:rsidRPr="00CA0496">
        <w:rPr>
          <w:rFonts w:asciiTheme="minorHAnsi" w:hAnsiTheme="minorHAnsi" w:cstheme="minorHAnsi"/>
          <w:lang w:val="es-AR"/>
        </w:rPr>
        <w:t>Ilustramos la exposición con un caso clínico usual:</w:t>
      </w:r>
    </w:p>
    <w:p w:rsidR="00575123" w:rsidRPr="00CA0496" w:rsidRDefault="00575123" w:rsidP="00CA0496">
      <w:pPr>
        <w:spacing w:after="0"/>
        <w:jc w:val="both"/>
        <w:rPr>
          <w:rFonts w:asciiTheme="minorHAnsi" w:hAnsiTheme="minorHAnsi" w:cstheme="minorHAnsi"/>
          <w:b/>
          <w:lang w:val="es-ES"/>
        </w:rPr>
      </w:pPr>
      <w:r w:rsidRPr="00CA0496">
        <w:rPr>
          <w:rFonts w:asciiTheme="minorHAnsi" w:hAnsiTheme="minorHAnsi" w:cstheme="minorHAnsi"/>
          <w:b/>
          <w:lang w:val="es-ES"/>
        </w:rPr>
        <w:t>Caso Clínico</w:t>
      </w:r>
    </w:p>
    <w:p w:rsidR="00575123" w:rsidRPr="00575123" w:rsidRDefault="00575123" w:rsidP="00CA0496">
      <w:pPr>
        <w:jc w:val="both"/>
        <w:rPr>
          <w:rFonts w:ascii="Arial" w:hAnsi="Arial" w:cs="Arial"/>
          <w:sz w:val="20"/>
          <w:szCs w:val="20"/>
          <w:lang w:val="es-AR"/>
        </w:rPr>
      </w:pPr>
      <w:r w:rsidRPr="00CA0496">
        <w:rPr>
          <w:rFonts w:asciiTheme="minorHAnsi" w:hAnsiTheme="minorHAnsi" w:cstheme="minorHAnsi"/>
          <w:lang w:val="es-ES"/>
        </w:rPr>
        <w:t xml:space="preserve">Un paciente de sexo masculino, de 54 años, tabaquista de 20 paquetes/año que consultópor disnea progresiva de 5 años de evolución, actualmente grado 3 del </w:t>
      </w:r>
      <w:proofErr w:type="spellStart"/>
      <w:r w:rsidRPr="00CA0496">
        <w:rPr>
          <w:rFonts w:asciiTheme="minorHAnsi" w:hAnsiTheme="minorHAnsi" w:cstheme="minorHAnsi"/>
          <w:lang w:val="es-ES"/>
        </w:rPr>
        <w:t>Medical</w:t>
      </w:r>
      <w:proofErr w:type="spellEnd"/>
      <w:r w:rsidRPr="00CA0496">
        <w:rPr>
          <w:rFonts w:asciiTheme="minorHAnsi" w:hAnsiTheme="minorHAnsi" w:cstheme="minorHAnsi"/>
          <w:lang w:val="es-ES"/>
        </w:rPr>
        <w:t xml:space="preserve"> </w:t>
      </w:r>
      <w:proofErr w:type="spellStart"/>
      <w:r w:rsidRPr="00CA0496">
        <w:rPr>
          <w:rFonts w:asciiTheme="minorHAnsi" w:hAnsiTheme="minorHAnsi" w:cstheme="minorHAnsi"/>
          <w:lang w:val="es-ES"/>
        </w:rPr>
        <w:t>Research</w:t>
      </w:r>
      <w:proofErr w:type="spellEnd"/>
      <w:r w:rsidRPr="00CA0496">
        <w:rPr>
          <w:rFonts w:asciiTheme="minorHAnsi" w:hAnsiTheme="minorHAnsi" w:cstheme="minorHAnsi"/>
          <w:lang w:val="es-ES"/>
        </w:rPr>
        <w:t xml:space="preserve"> Council modificada (</w:t>
      </w:r>
      <w:proofErr w:type="spellStart"/>
      <w:r w:rsidRPr="00CA0496">
        <w:rPr>
          <w:rFonts w:asciiTheme="minorHAnsi" w:hAnsiTheme="minorHAnsi" w:cstheme="minorHAnsi"/>
          <w:lang w:val="es-ES"/>
        </w:rPr>
        <w:t>mMRC</w:t>
      </w:r>
      <w:proofErr w:type="spellEnd"/>
      <w:r w:rsidRPr="00CA0496">
        <w:rPr>
          <w:rFonts w:asciiTheme="minorHAnsi" w:hAnsiTheme="minorHAnsi" w:cstheme="minorHAnsi"/>
          <w:lang w:val="es-ES"/>
        </w:rPr>
        <w:t xml:space="preserve">). Su </w:t>
      </w:r>
      <w:proofErr w:type="spellStart"/>
      <w:r w:rsidRPr="00CA0496">
        <w:rPr>
          <w:rFonts w:asciiTheme="minorHAnsi" w:hAnsiTheme="minorHAnsi" w:cstheme="minorHAnsi"/>
          <w:lang w:val="es-ES"/>
        </w:rPr>
        <w:t>espirometría</w:t>
      </w:r>
      <w:proofErr w:type="spellEnd"/>
      <w:r w:rsidRPr="00CA0496">
        <w:rPr>
          <w:rFonts w:asciiTheme="minorHAnsi" w:hAnsiTheme="minorHAnsi" w:cstheme="minorHAnsi"/>
          <w:lang w:val="es-ES"/>
        </w:rPr>
        <w:t xml:space="preserve"> puso de manifiesto un defecto ventilatorio de tipo obstructivo de grado severo con un volumen espiratorio forzado en el primer segundo (</w:t>
      </w:r>
      <w:r w:rsidRPr="00CA0496">
        <w:rPr>
          <w:rFonts w:asciiTheme="minorHAnsi" w:hAnsiTheme="minorHAnsi" w:cstheme="minorHAnsi"/>
          <w:lang w:val="es-AR"/>
        </w:rPr>
        <w:t>FEV</w:t>
      </w:r>
      <w:r w:rsidRPr="00CA0496">
        <w:rPr>
          <w:rFonts w:asciiTheme="minorHAnsi" w:hAnsiTheme="minorHAnsi" w:cstheme="minorHAnsi"/>
          <w:vertAlign w:val="subscript"/>
          <w:lang w:val="es-AR"/>
        </w:rPr>
        <w:t>1</w:t>
      </w:r>
      <w:r w:rsidRPr="00CA0496">
        <w:rPr>
          <w:rFonts w:asciiTheme="minorHAnsi" w:hAnsiTheme="minorHAnsi" w:cstheme="minorHAnsi"/>
          <w:lang w:val="es-ES"/>
        </w:rPr>
        <w:t>) de</w:t>
      </w:r>
      <w:proofErr w:type="gramStart"/>
      <w:r w:rsidRPr="00CA0496">
        <w:rPr>
          <w:rFonts w:asciiTheme="minorHAnsi" w:hAnsiTheme="minorHAnsi" w:cstheme="minorHAnsi"/>
          <w:lang w:val="es-ES"/>
        </w:rPr>
        <w:t>:</w:t>
      </w:r>
      <w:r w:rsidRPr="00CA0496">
        <w:rPr>
          <w:rFonts w:asciiTheme="minorHAnsi" w:hAnsiTheme="minorHAnsi" w:cstheme="minorHAnsi"/>
          <w:lang w:val="es-AR"/>
        </w:rPr>
        <w:t>1.35</w:t>
      </w:r>
      <w:proofErr w:type="gramEnd"/>
      <w:r w:rsidRPr="00CA0496">
        <w:rPr>
          <w:rFonts w:asciiTheme="minorHAnsi" w:hAnsiTheme="minorHAnsi" w:cstheme="minorHAnsi"/>
          <w:lang w:val="es-AR"/>
        </w:rPr>
        <w:t xml:space="preserve"> litros/m (41%). Además la curva flujo/volumen evidenció una morfología típica de obstrucción </w:t>
      </w:r>
      <w:proofErr w:type="spellStart"/>
      <w:r w:rsidRPr="00CA0496">
        <w:rPr>
          <w:rFonts w:asciiTheme="minorHAnsi" w:hAnsiTheme="minorHAnsi" w:cstheme="minorHAnsi"/>
          <w:lang w:val="es-AR"/>
        </w:rPr>
        <w:t>intratorácica</w:t>
      </w:r>
      <w:proofErr w:type="spellEnd"/>
      <w:r w:rsidRPr="00CA0496">
        <w:rPr>
          <w:rFonts w:asciiTheme="minorHAnsi" w:hAnsiTheme="minorHAnsi" w:cstheme="minorHAnsi"/>
          <w:lang w:val="es-AR"/>
        </w:rPr>
        <w:t>: concavidad de la rama descendente espiratoria como expresión de los flujos espiratorios medios</w:t>
      </w:r>
      <w:r w:rsidRPr="00575123">
        <w:rPr>
          <w:rFonts w:ascii="Arial" w:hAnsi="Arial" w:cs="Arial"/>
          <w:sz w:val="20"/>
          <w:szCs w:val="20"/>
          <w:lang w:val="es-AR"/>
        </w:rPr>
        <w:t xml:space="preserve"> </w:t>
      </w:r>
    </w:p>
    <w:p w:rsidR="00575123" w:rsidRDefault="00575123" w:rsidP="00575123">
      <w:pPr>
        <w:jc w:val="both"/>
        <w:rPr>
          <w:rFonts w:ascii="Arial" w:hAnsi="Arial" w:cs="Arial"/>
          <w:sz w:val="20"/>
          <w:szCs w:val="20"/>
        </w:rPr>
      </w:pPr>
      <w:r>
        <w:rPr>
          <w:rFonts w:ascii="Arial" w:hAnsi="Arial" w:cs="Arial"/>
          <w:noProof/>
          <w:sz w:val="20"/>
          <w:szCs w:val="20"/>
          <w:lang w:val="es-AR" w:eastAsia="es-AR"/>
        </w:rPr>
        <w:drawing>
          <wp:inline distT="0" distB="0" distL="0" distR="0">
            <wp:extent cx="5663565" cy="2987040"/>
            <wp:effectExtent l="0" t="0" r="0" b="381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3565" cy="2987040"/>
                    </a:xfrm>
                    <a:prstGeom prst="rect">
                      <a:avLst/>
                    </a:prstGeom>
                    <a:noFill/>
                  </pic:spPr>
                </pic:pic>
              </a:graphicData>
            </a:graphic>
          </wp:inline>
        </w:drawing>
      </w:r>
    </w:p>
    <w:p w:rsidR="00575123" w:rsidRPr="00CA0496" w:rsidRDefault="00575123" w:rsidP="00CA0496">
      <w:pPr>
        <w:jc w:val="both"/>
        <w:rPr>
          <w:rFonts w:asciiTheme="minorHAnsi" w:hAnsiTheme="minorHAnsi" w:cstheme="minorHAnsi"/>
          <w:lang w:val="es-AR"/>
        </w:rPr>
      </w:pPr>
      <w:r w:rsidRPr="00CA0496">
        <w:rPr>
          <w:rFonts w:asciiTheme="minorHAnsi" w:hAnsiTheme="minorHAnsi" w:cstheme="minorHAnsi"/>
          <w:lang w:val="es-AR"/>
        </w:rPr>
        <w:t xml:space="preserve">La radiografía de tórax mostró signos de </w:t>
      </w:r>
      <w:proofErr w:type="spellStart"/>
      <w:r w:rsidRPr="00CA0496">
        <w:rPr>
          <w:rFonts w:asciiTheme="minorHAnsi" w:hAnsiTheme="minorHAnsi" w:cstheme="minorHAnsi"/>
          <w:lang w:val="es-AR"/>
        </w:rPr>
        <w:t>hiperinsuflación</w:t>
      </w:r>
      <w:proofErr w:type="spellEnd"/>
      <w:r w:rsidRPr="00CA0496">
        <w:rPr>
          <w:rFonts w:asciiTheme="minorHAnsi" w:hAnsiTheme="minorHAnsi" w:cstheme="minorHAnsi"/>
          <w:lang w:val="es-AR"/>
        </w:rPr>
        <w:t xml:space="preserve"> con aplanamiento de los diafragmas y atenuación de la </w:t>
      </w:r>
      <w:proofErr w:type="spellStart"/>
      <w:r w:rsidRPr="00CA0496">
        <w:rPr>
          <w:rFonts w:asciiTheme="minorHAnsi" w:hAnsiTheme="minorHAnsi" w:cstheme="minorHAnsi"/>
          <w:lang w:val="es-AR"/>
        </w:rPr>
        <w:t>vasculatura</w:t>
      </w:r>
      <w:proofErr w:type="spellEnd"/>
      <w:r w:rsidRPr="00CA0496">
        <w:rPr>
          <w:rFonts w:asciiTheme="minorHAnsi" w:hAnsiTheme="minorHAnsi" w:cstheme="minorHAnsi"/>
          <w:lang w:val="es-AR"/>
        </w:rPr>
        <w:t xml:space="preserve"> periférica. En el perfil se observa </w:t>
      </w:r>
      <w:proofErr w:type="spellStart"/>
      <w:r w:rsidRPr="00CA0496">
        <w:rPr>
          <w:rFonts w:asciiTheme="minorHAnsi" w:hAnsiTheme="minorHAnsi" w:cstheme="minorHAnsi"/>
          <w:lang w:val="es-AR"/>
        </w:rPr>
        <w:t>hiperclaridadretroesternal</w:t>
      </w:r>
      <w:proofErr w:type="spellEnd"/>
      <w:r w:rsidRPr="00CA0496">
        <w:rPr>
          <w:rFonts w:asciiTheme="minorHAnsi" w:hAnsiTheme="minorHAnsi" w:cstheme="minorHAnsi"/>
          <w:lang w:val="es-AR"/>
        </w:rPr>
        <w:t xml:space="preserve">. Como antecedentes personales, el paciente refería </w:t>
      </w:r>
      <w:r w:rsidRPr="00CA0496">
        <w:rPr>
          <w:rFonts w:asciiTheme="minorHAnsi" w:hAnsiTheme="minorHAnsi" w:cstheme="minorHAnsi"/>
          <w:lang w:val="es-ES"/>
        </w:rPr>
        <w:t xml:space="preserve">hipertensión arterial y diabetes no </w:t>
      </w:r>
      <w:proofErr w:type="spellStart"/>
      <w:r w:rsidRPr="00CA0496">
        <w:rPr>
          <w:rFonts w:asciiTheme="minorHAnsi" w:hAnsiTheme="minorHAnsi" w:cstheme="minorHAnsi"/>
          <w:lang w:val="es-ES"/>
        </w:rPr>
        <w:t>insulinorequiriente</w:t>
      </w:r>
      <w:proofErr w:type="spellEnd"/>
      <w:r w:rsidRPr="00CA0496">
        <w:rPr>
          <w:rFonts w:asciiTheme="minorHAnsi" w:hAnsiTheme="minorHAnsi" w:cstheme="minorHAnsi"/>
          <w:lang w:val="es-ES"/>
        </w:rPr>
        <w:t>.</w:t>
      </w:r>
      <w:r w:rsidRPr="00CA0496">
        <w:rPr>
          <w:rFonts w:asciiTheme="minorHAnsi" w:hAnsiTheme="minorHAnsi" w:cstheme="minorHAnsi"/>
          <w:lang w:val="es-AR"/>
        </w:rPr>
        <w:t>Refería además, historia de 2 exacerbaciones respiratorias anuales.</w:t>
      </w:r>
    </w:p>
    <w:p w:rsidR="00575123" w:rsidRPr="008B7935" w:rsidRDefault="00575123" w:rsidP="00575123">
      <w:pPr>
        <w:jc w:val="both"/>
        <w:rPr>
          <w:rFonts w:ascii="Arial" w:hAnsi="Arial" w:cs="Arial"/>
          <w:sz w:val="20"/>
          <w:szCs w:val="20"/>
        </w:rPr>
      </w:pPr>
      <w:r>
        <w:rPr>
          <w:rFonts w:ascii="Arial" w:hAnsi="Arial" w:cs="Arial"/>
          <w:noProof/>
          <w:sz w:val="20"/>
          <w:szCs w:val="20"/>
          <w:lang w:val="es-AR" w:eastAsia="es-AR"/>
        </w:rPr>
        <w:lastRenderedPageBreak/>
        <w:drawing>
          <wp:inline distT="0" distB="0" distL="0" distR="0">
            <wp:extent cx="2719070" cy="2463165"/>
            <wp:effectExtent l="0" t="0" r="508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070" cy="2463165"/>
                    </a:xfrm>
                    <a:prstGeom prst="rect">
                      <a:avLst/>
                    </a:prstGeom>
                    <a:noFill/>
                  </pic:spPr>
                </pic:pic>
              </a:graphicData>
            </a:graphic>
          </wp:inline>
        </w:drawing>
      </w:r>
      <w:r>
        <w:rPr>
          <w:rFonts w:ascii="Arial" w:hAnsi="Arial" w:cs="Arial"/>
          <w:noProof/>
          <w:sz w:val="20"/>
          <w:szCs w:val="20"/>
          <w:lang w:val="es-AR" w:eastAsia="es-AR"/>
        </w:rPr>
        <w:drawing>
          <wp:inline distT="0" distB="0" distL="0" distR="0">
            <wp:extent cx="2365375" cy="24631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375" cy="2463165"/>
                    </a:xfrm>
                    <a:prstGeom prst="rect">
                      <a:avLst/>
                    </a:prstGeom>
                    <a:noFill/>
                  </pic:spPr>
                </pic:pic>
              </a:graphicData>
            </a:graphic>
          </wp:inline>
        </w:drawing>
      </w:r>
    </w:p>
    <w:p w:rsidR="00575123" w:rsidRPr="00CA0496" w:rsidRDefault="00575123" w:rsidP="00CA0496">
      <w:pPr>
        <w:jc w:val="both"/>
        <w:rPr>
          <w:rFonts w:asciiTheme="minorHAnsi" w:hAnsiTheme="minorHAnsi" w:cstheme="minorHAnsi"/>
          <w:lang w:val="es-AR"/>
        </w:rPr>
      </w:pPr>
      <w:r w:rsidRPr="00CA0496">
        <w:rPr>
          <w:rFonts w:asciiTheme="minorHAnsi" w:hAnsiTheme="minorHAnsi" w:cstheme="minorHAnsi"/>
          <w:lang w:val="es-AR"/>
        </w:rPr>
        <w:t>Datos del examen físico: Peso: 98 Kg, Talla 174 cm, IMC 32.3 kg/m</w:t>
      </w:r>
      <w:r w:rsidRPr="00CA0496">
        <w:rPr>
          <w:rFonts w:asciiTheme="minorHAnsi" w:hAnsiTheme="minorHAnsi" w:cstheme="minorHAnsi"/>
          <w:vertAlign w:val="superscript"/>
          <w:lang w:val="es-AR"/>
        </w:rPr>
        <w:t xml:space="preserve">2 </w:t>
      </w:r>
      <w:r w:rsidRPr="00CA0496">
        <w:rPr>
          <w:rFonts w:asciiTheme="minorHAnsi" w:hAnsiTheme="minorHAnsi" w:cstheme="minorHAnsi"/>
          <w:lang w:val="es-AR"/>
        </w:rPr>
        <w:t xml:space="preserve">(obesidad gr I), TA 135/95 mm Hg; perímetro abdominal 106cm. Murmullo vesicular disminuido globalmente y el resto no presentaba anormalidades. </w:t>
      </w:r>
    </w:p>
    <w:p w:rsidR="00575123" w:rsidRPr="00CA0496" w:rsidRDefault="00575123" w:rsidP="00CA0496">
      <w:pPr>
        <w:jc w:val="both"/>
        <w:rPr>
          <w:rFonts w:asciiTheme="minorHAnsi" w:hAnsiTheme="minorHAnsi" w:cstheme="minorHAnsi"/>
          <w:lang w:val="es-AR"/>
        </w:rPr>
      </w:pPr>
      <w:r w:rsidRPr="00CA0496">
        <w:rPr>
          <w:rFonts w:asciiTheme="minorHAnsi" w:hAnsiTheme="minorHAnsi" w:cstheme="minorHAnsi"/>
          <w:lang w:val="es-AR"/>
        </w:rPr>
        <w:t xml:space="preserve">Datos del laboratorio: glucemia: 115 mg/dl, colesterol total: 284 mg/dl, HDL 37 mg/dl, LDL 212 mg/dl, triglicéridos 194 mg/dl. El ECG mostró taquicardia </w:t>
      </w:r>
      <w:proofErr w:type="spellStart"/>
      <w:r w:rsidRPr="00CA0496">
        <w:rPr>
          <w:rFonts w:asciiTheme="minorHAnsi" w:hAnsiTheme="minorHAnsi" w:cstheme="minorHAnsi"/>
          <w:lang w:val="es-AR"/>
        </w:rPr>
        <w:t>sinusal</w:t>
      </w:r>
      <w:proofErr w:type="spellEnd"/>
      <w:r w:rsidRPr="00CA0496">
        <w:rPr>
          <w:rFonts w:asciiTheme="minorHAnsi" w:hAnsiTheme="minorHAnsi" w:cstheme="minorHAnsi"/>
          <w:lang w:val="es-AR"/>
        </w:rPr>
        <w:t xml:space="preserve">. La </w:t>
      </w:r>
      <w:proofErr w:type="spellStart"/>
      <w:r w:rsidRPr="00CA0496">
        <w:rPr>
          <w:rFonts w:asciiTheme="minorHAnsi" w:hAnsiTheme="minorHAnsi" w:cstheme="minorHAnsi"/>
          <w:lang w:val="es-AR"/>
        </w:rPr>
        <w:t>pulsioximetía</w:t>
      </w:r>
      <w:proofErr w:type="spellEnd"/>
      <w:r w:rsidRPr="00CA0496">
        <w:rPr>
          <w:rFonts w:asciiTheme="minorHAnsi" w:hAnsiTheme="minorHAnsi" w:cstheme="minorHAnsi"/>
          <w:lang w:val="es-AR"/>
        </w:rPr>
        <w:t xml:space="preserve"> reveló saturación de oxígeno de 93% en reposo </w:t>
      </w:r>
    </w:p>
    <w:p w:rsidR="00575123" w:rsidRPr="00CA0496" w:rsidRDefault="00575123" w:rsidP="00CA0496">
      <w:pPr>
        <w:jc w:val="both"/>
        <w:rPr>
          <w:rFonts w:asciiTheme="minorHAnsi" w:hAnsiTheme="minorHAnsi" w:cstheme="minorHAnsi"/>
          <w:lang w:val="es-AR"/>
        </w:rPr>
      </w:pPr>
      <w:r w:rsidRPr="00CA0496">
        <w:rPr>
          <w:rFonts w:asciiTheme="minorHAnsi" w:hAnsiTheme="minorHAnsi" w:cstheme="minorHAnsi"/>
          <w:lang w:val="es-AR"/>
        </w:rPr>
        <w:t>El paciente tenía diagnóstico de EPOC desde hacía 3 años y realizaba tratamiento farmacológico con esteroides inhalados más broncodilatadores de acción prolongada.</w:t>
      </w:r>
    </w:p>
    <w:p w:rsidR="00575123" w:rsidRPr="00CA0496" w:rsidRDefault="00575123" w:rsidP="00CA0496">
      <w:pPr>
        <w:jc w:val="both"/>
        <w:rPr>
          <w:rFonts w:asciiTheme="minorHAnsi" w:hAnsiTheme="minorHAnsi" w:cstheme="minorHAnsi"/>
          <w:lang w:val="es-ES"/>
        </w:rPr>
      </w:pPr>
      <w:r w:rsidRPr="00CA0496">
        <w:rPr>
          <w:rFonts w:asciiTheme="minorHAnsi" w:hAnsiTheme="minorHAnsi" w:cstheme="minorHAnsi"/>
          <w:lang w:val="es-ES"/>
        </w:rPr>
        <w:t>Estamos ante un paciente con diagnóstico de EPOC, grado D según GOLD, pero que además presenta:</w:t>
      </w:r>
    </w:p>
    <w:p w:rsidR="00575123" w:rsidRPr="00CA0496" w:rsidRDefault="00575123" w:rsidP="00CA0496">
      <w:pPr>
        <w:pStyle w:val="Prrafodelista"/>
        <w:numPr>
          <w:ilvl w:val="0"/>
          <w:numId w:val="6"/>
        </w:numPr>
        <w:spacing w:line="276" w:lineRule="auto"/>
        <w:jc w:val="both"/>
        <w:rPr>
          <w:rFonts w:asciiTheme="minorHAnsi" w:hAnsiTheme="minorHAnsi" w:cstheme="minorHAnsi"/>
          <w:sz w:val="22"/>
          <w:szCs w:val="22"/>
          <w:lang w:val="es-ES"/>
        </w:rPr>
      </w:pPr>
      <w:r w:rsidRPr="00CA0496">
        <w:rPr>
          <w:rFonts w:asciiTheme="minorHAnsi" w:hAnsiTheme="minorHAnsi" w:cstheme="minorHAnsi"/>
          <w:sz w:val="22"/>
          <w:szCs w:val="22"/>
          <w:lang w:val="es-ES"/>
        </w:rPr>
        <w:t>Hipertensión arterial</w:t>
      </w:r>
    </w:p>
    <w:p w:rsidR="00575123" w:rsidRPr="00CA0496" w:rsidRDefault="00575123" w:rsidP="00CA0496">
      <w:pPr>
        <w:pStyle w:val="Prrafodelista"/>
        <w:numPr>
          <w:ilvl w:val="0"/>
          <w:numId w:val="6"/>
        </w:numPr>
        <w:spacing w:line="276" w:lineRule="auto"/>
        <w:jc w:val="both"/>
        <w:rPr>
          <w:rFonts w:asciiTheme="minorHAnsi" w:hAnsiTheme="minorHAnsi" w:cstheme="minorHAnsi"/>
          <w:sz w:val="22"/>
          <w:szCs w:val="22"/>
          <w:lang w:val="es-ES"/>
        </w:rPr>
      </w:pPr>
      <w:proofErr w:type="spellStart"/>
      <w:r w:rsidRPr="00CA0496">
        <w:rPr>
          <w:rFonts w:asciiTheme="minorHAnsi" w:hAnsiTheme="minorHAnsi" w:cstheme="minorHAnsi"/>
          <w:sz w:val="22"/>
          <w:szCs w:val="22"/>
          <w:lang w:val="es-ES"/>
        </w:rPr>
        <w:t>Dislipidemia</w:t>
      </w:r>
      <w:proofErr w:type="spellEnd"/>
    </w:p>
    <w:p w:rsidR="00575123" w:rsidRPr="00CA0496" w:rsidRDefault="00575123" w:rsidP="00CA0496">
      <w:pPr>
        <w:pStyle w:val="Prrafodelista"/>
        <w:numPr>
          <w:ilvl w:val="0"/>
          <w:numId w:val="6"/>
        </w:numPr>
        <w:spacing w:line="276" w:lineRule="auto"/>
        <w:jc w:val="both"/>
        <w:rPr>
          <w:rFonts w:asciiTheme="minorHAnsi" w:hAnsiTheme="minorHAnsi" w:cstheme="minorHAnsi"/>
          <w:sz w:val="22"/>
          <w:szCs w:val="22"/>
          <w:lang w:val="es-ES"/>
        </w:rPr>
      </w:pPr>
      <w:r w:rsidRPr="00CA0496">
        <w:rPr>
          <w:rFonts w:asciiTheme="minorHAnsi" w:hAnsiTheme="minorHAnsi" w:cstheme="minorHAnsi"/>
          <w:sz w:val="22"/>
          <w:szCs w:val="22"/>
          <w:lang w:val="es-ES"/>
        </w:rPr>
        <w:t>Aumento del perímetro abdominal</w:t>
      </w:r>
    </w:p>
    <w:p w:rsidR="00575123" w:rsidRPr="00CA0496" w:rsidRDefault="00575123" w:rsidP="00CA0496">
      <w:pPr>
        <w:pStyle w:val="Prrafodelista"/>
        <w:numPr>
          <w:ilvl w:val="0"/>
          <w:numId w:val="6"/>
        </w:numPr>
        <w:spacing w:line="276" w:lineRule="auto"/>
        <w:jc w:val="both"/>
        <w:rPr>
          <w:rFonts w:asciiTheme="minorHAnsi" w:hAnsiTheme="minorHAnsi" w:cstheme="minorHAnsi"/>
          <w:sz w:val="22"/>
          <w:szCs w:val="22"/>
          <w:lang w:val="es-ES"/>
        </w:rPr>
      </w:pPr>
      <w:r w:rsidRPr="00CA0496">
        <w:rPr>
          <w:rFonts w:asciiTheme="minorHAnsi" w:hAnsiTheme="minorHAnsi" w:cstheme="minorHAnsi"/>
          <w:sz w:val="22"/>
          <w:szCs w:val="22"/>
          <w:lang w:val="es-ES"/>
        </w:rPr>
        <w:t>Obesidad</w:t>
      </w:r>
    </w:p>
    <w:p w:rsidR="00575123" w:rsidRPr="00CA0496" w:rsidRDefault="00575123" w:rsidP="00CA0496">
      <w:pPr>
        <w:pStyle w:val="Prrafodelista"/>
        <w:numPr>
          <w:ilvl w:val="0"/>
          <w:numId w:val="6"/>
        </w:numPr>
        <w:spacing w:line="276" w:lineRule="auto"/>
        <w:jc w:val="both"/>
        <w:rPr>
          <w:rFonts w:asciiTheme="minorHAnsi" w:hAnsiTheme="minorHAnsi" w:cstheme="minorHAnsi"/>
          <w:sz w:val="22"/>
          <w:szCs w:val="22"/>
          <w:lang w:val="es-ES"/>
        </w:rPr>
      </w:pPr>
      <w:r w:rsidRPr="00CA0496">
        <w:rPr>
          <w:rFonts w:asciiTheme="minorHAnsi" w:hAnsiTheme="minorHAnsi" w:cstheme="minorHAnsi"/>
          <w:sz w:val="22"/>
          <w:szCs w:val="22"/>
          <w:lang w:val="es-ES"/>
        </w:rPr>
        <w:t>Hiperglucemia</w:t>
      </w:r>
    </w:p>
    <w:p w:rsidR="00575123" w:rsidRPr="00CA0496" w:rsidRDefault="00575123" w:rsidP="00CA0496">
      <w:pPr>
        <w:pStyle w:val="Prrafodelista"/>
        <w:spacing w:line="276" w:lineRule="auto"/>
        <w:jc w:val="both"/>
        <w:rPr>
          <w:rFonts w:asciiTheme="minorHAnsi" w:hAnsiTheme="minorHAnsi" w:cstheme="minorHAnsi"/>
          <w:sz w:val="22"/>
          <w:szCs w:val="22"/>
          <w:lang w:val="es-ES"/>
        </w:rPr>
      </w:pPr>
    </w:p>
    <w:p w:rsidR="00575123" w:rsidRPr="005F5D0F" w:rsidRDefault="00575123" w:rsidP="00CA0496">
      <w:pPr>
        <w:jc w:val="both"/>
        <w:rPr>
          <w:rFonts w:ascii="Arial" w:hAnsi="Arial" w:cs="Arial"/>
          <w:sz w:val="20"/>
          <w:szCs w:val="20"/>
          <w:lang w:val="es-ES"/>
        </w:rPr>
      </w:pPr>
      <w:r w:rsidRPr="00CA0496">
        <w:rPr>
          <w:rFonts w:asciiTheme="minorHAnsi" w:hAnsiTheme="minorHAnsi" w:cstheme="minorHAnsi"/>
          <w:lang w:val="es-ES"/>
        </w:rPr>
        <w:t>Como vemos, estamos ante un paciente complejo, que tiene comorbilidades muy importantes asociadas a la EPOC, entre ellos el síndrome metabólico y debemos realizar una evaluación minuciosa que nos van a ayudar en el manejo clínico.</w:t>
      </w:r>
      <w:r w:rsidRPr="00CA0496">
        <w:rPr>
          <w:rFonts w:asciiTheme="minorHAnsi" w:hAnsiTheme="minorHAnsi" w:cstheme="minorHAnsi"/>
          <w:lang w:val="es-AR"/>
        </w:rPr>
        <w:t xml:space="preserve">  El tratamiento en este caso, se basa en el uso de broncodilatadores de acción prolongada (LABA y/o LAMA y/o esteroides inhalados</w:t>
      </w:r>
      <w:r w:rsidRPr="00575123">
        <w:rPr>
          <w:rFonts w:ascii="Arial" w:hAnsi="Arial" w:cs="Arial"/>
          <w:sz w:val="20"/>
          <w:szCs w:val="20"/>
          <w:lang w:val="es-AR"/>
        </w:rPr>
        <w:t xml:space="preserve">, </w:t>
      </w:r>
    </w:p>
    <w:p w:rsidR="00575123" w:rsidRDefault="00575123" w:rsidP="00575123">
      <w:pPr>
        <w:rPr>
          <w:rFonts w:ascii="Arial" w:hAnsi="Arial" w:cs="Arial"/>
          <w:i/>
          <w:sz w:val="20"/>
          <w:szCs w:val="20"/>
          <w:lang w:val="es-ES"/>
        </w:rPr>
      </w:pPr>
    </w:p>
    <w:p w:rsidR="00575123" w:rsidRDefault="00004309" w:rsidP="00CA0496">
      <w:pPr>
        <w:jc w:val="both"/>
        <w:rPr>
          <w:rFonts w:asciiTheme="minorHAnsi" w:hAnsiTheme="minorHAnsi" w:cs="Arial"/>
          <w:b/>
          <w:lang w:val="es-ES"/>
        </w:rPr>
      </w:pPr>
      <w:r w:rsidRPr="00004309">
        <w:rPr>
          <w:rFonts w:asciiTheme="minorHAnsi" w:hAnsiTheme="minorHAnsi" w:cs="Arial"/>
          <w:b/>
          <w:lang w:val="es-ES"/>
        </w:rPr>
        <w:t>Resumen</w:t>
      </w:r>
      <w:r w:rsidR="00E66883">
        <w:rPr>
          <w:rFonts w:asciiTheme="minorHAnsi" w:hAnsiTheme="minorHAnsi" w:cs="Arial"/>
          <w:b/>
          <w:lang w:val="es-ES"/>
        </w:rPr>
        <w:t>:</w:t>
      </w:r>
    </w:p>
    <w:p w:rsidR="00E66883" w:rsidRDefault="00E66883" w:rsidP="00CA0496">
      <w:pPr>
        <w:jc w:val="both"/>
        <w:rPr>
          <w:rFonts w:asciiTheme="minorHAnsi" w:hAnsiTheme="minorHAnsi" w:cs="Arial"/>
          <w:lang w:val="es-ES"/>
        </w:rPr>
      </w:pPr>
      <w:r w:rsidRPr="00E66883">
        <w:rPr>
          <w:rFonts w:asciiTheme="minorHAnsi" w:hAnsiTheme="minorHAnsi" w:cs="Arial"/>
          <w:lang w:val="es-ES"/>
        </w:rPr>
        <w:t>El Síndrome Met</w:t>
      </w:r>
      <w:r w:rsidR="001F4D08">
        <w:rPr>
          <w:rFonts w:asciiTheme="minorHAnsi" w:hAnsiTheme="minorHAnsi" w:cs="Arial"/>
          <w:lang w:val="es-ES"/>
        </w:rPr>
        <w:t>abó</w:t>
      </w:r>
      <w:r w:rsidRPr="00E66883">
        <w:rPr>
          <w:rFonts w:asciiTheme="minorHAnsi" w:hAnsiTheme="minorHAnsi" w:cs="Arial"/>
          <w:lang w:val="es-ES"/>
        </w:rPr>
        <w:t xml:space="preserve">lico está presente en la población </w:t>
      </w:r>
      <w:proofErr w:type="gramStart"/>
      <w:r w:rsidRPr="00E66883">
        <w:rPr>
          <w:rFonts w:asciiTheme="minorHAnsi" w:hAnsiTheme="minorHAnsi" w:cs="Arial"/>
          <w:lang w:val="es-ES"/>
        </w:rPr>
        <w:t>EPOC .</w:t>
      </w:r>
      <w:proofErr w:type="gramEnd"/>
      <w:r w:rsidRPr="00E66883">
        <w:rPr>
          <w:rFonts w:asciiTheme="minorHAnsi" w:hAnsiTheme="minorHAnsi" w:cs="Arial"/>
          <w:lang w:val="es-ES"/>
        </w:rPr>
        <w:t xml:space="preserve"> Existe una</w:t>
      </w:r>
      <w:r w:rsidR="00962782">
        <w:rPr>
          <w:rFonts w:asciiTheme="minorHAnsi" w:hAnsiTheme="minorHAnsi" w:cs="Arial"/>
          <w:lang w:val="es-ES"/>
        </w:rPr>
        <w:t xml:space="preserve"> correlación patogénica compleja</w:t>
      </w:r>
      <w:r w:rsidRPr="00E66883">
        <w:rPr>
          <w:rFonts w:asciiTheme="minorHAnsi" w:hAnsiTheme="minorHAnsi" w:cs="Arial"/>
          <w:lang w:val="es-ES"/>
        </w:rPr>
        <w:t xml:space="preserve"> con implica</w:t>
      </w:r>
      <w:r w:rsidR="00962782">
        <w:rPr>
          <w:rFonts w:asciiTheme="minorHAnsi" w:hAnsiTheme="minorHAnsi" w:cs="Arial"/>
          <w:lang w:val="es-ES"/>
        </w:rPr>
        <w:t>ncias</w:t>
      </w:r>
      <w:r w:rsidRPr="00E66883">
        <w:rPr>
          <w:rFonts w:asciiTheme="minorHAnsi" w:hAnsiTheme="minorHAnsi" w:cs="Arial"/>
          <w:lang w:val="es-ES"/>
        </w:rPr>
        <w:t xml:space="preserve"> fisiopatológicas entre EPOC y SM.  Ambos componentes del SM y la </w:t>
      </w:r>
      <w:r w:rsidRPr="00E66883">
        <w:rPr>
          <w:rFonts w:asciiTheme="minorHAnsi" w:hAnsiTheme="minorHAnsi" w:cs="Arial"/>
          <w:lang w:val="es-ES"/>
        </w:rPr>
        <w:lastRenderedPageBreak/>
        <w:t>EPOC requieren atención para el mejor tratamiento. Un modelo de rehabilitación incluyendo la actividad física puede ser el camino a seguir para el manejo eficaz de estas enfermedades coexistentes</w:t>
      </w:r>
      <w:r>
        <w:rPr>
          <w:rFonts w:asciiTheme="minorHAnsi" w:hAnsiTheme="minorHAnsi" w:cs="Arial"/>
          <w:lang w:val="es-ES"/>
        </w:rPr>
        <w:t>.</w:t>
      </w:r>
    </w:p>
    <w:p w:rsidR="00E66883" w:rsidRPr="009D4AC7" w:rsidRDefault="00E66883" w:rsidP="00CA0496">
      <w:pPr>
        <w:jc w:val="both"/>
        <w:rPr>
          <w:rFonts w:asciiTheme="minorHAnsi" w:hAnsiTheme="minorHAnsi" w:cs="Arial"/>
          <w:b/>
          <w:lang w:val="es-ES"/>
        </w:rPr>
      </w:pPr>
      <w:r w:rsidRPr="009D4AC7">
        <w:rPr>
          <w:rFonts w:asciiTheme="minorHAnsi" w:hAnsiTheme="minorHAnsi" w:cs="Arial"/>
          <w:b/>
          <w:lang w:val="es-ES"/>
        </w:rPr>
        <w:t>Conclusiones:</w:t>
      </w:r>
    </w:p>
    <w:p w:rsidR="005B4571" w:rsidRPr="005B4571" w:rsidRDefault="005B4571" w:rsidP="00CA0496">
      <w:pPr>
        <w:autoSpaceDE w:val="0"/>
        <w:autoSpaceDN w:val="0"/>
        <w:adjustRightInd w:val="0"/>
        <w:spacing w:after="0"/>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El SM es una condición frecuente entre las personas mayores de 60 años, y predispone a los individuos afectados a la inflamación sistémica y a la inactividad física</w:t>
      </w:r>
      <w:proofErr w:type="gramStart"/>
      <w:r w:rsidRPr="005B4571">
        <w:rPr>
          <w:rFonts w:asciiTheme="minorHAnsi" w:hAnsiTheme="minorHAnsi" w:cs="Trebuchet MS"/>
          <w:color w:val="000000"/>
          <w:lang w:val="es-AR" w:eastAsia="es-AR"/>
        </w:rPr>
        <w:t>.</w:t>
      </w:r>
      <w:r w:rsidR="006753FC" w:rsidRPr="009D4AC7">
        <w:rPr>
          <w:rFonts w:asciiTheme="minorHAnsi" w:hAnsiTheme="minorHAnsi" w:cs="Trebuchet MS"/>
          <w:color w:val="000000"/>
          <w:lang w:val="es-AR" w:eastAsia="es-AR"/>
        </w:rPr>
        <w:t>(</w:t>
      </w:r>
      <w:proofErr w:type="gramEnd"/>
      <w:r w:rsidR="006753FC" w:rsidRPr="009D4AC7">
        <w:rPr>
          <w:rFonts w:asciiTheme="minorHAnsi" w:hAnsiTheme="minorHAnsi" w:cs="Trebuchet MS"/>
          <w:color w:val="000000"/>
          <w:lang w:val="es-AR" w:eastAsia="es-AR"/>
        </w:rPr>
        <w:t>37% de pacientes con EPOC en nuestro medio)</w:t>
      </w:r>
    </w:p>
    <w:p w:rsidR="005B4571" w:rsidRPr="005B4571" w:rsidRDefault="005B4571" w:rsidP="00CA0496">
      <w:pPr>
        <w:autoSpaceDE w:val="0"/>
        <w:autoSpaceDN w:val="0"/>
        <w:adjustRightInd w:val="0"/>
        <w:spacing w:after="0"/>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Representa un conjunto de factores de riesgo (obesidad abdominal, </w:t>
      </w:r>
      <w:proofErr w:type="spellStart"/>
      <w:r w:rsidRPr="005B4571">
        <w:rPr>
          <w:rFonts w:asciiTheme="minorHAnsi" w:hAnsiTheme="minorHAnsi" w:cs="Trebuchet MS"/>
          <w:color w:val="000000"/>
          <w:lang w:val="es-AR" w:eastAsia="es-AR"/>
        </w:rPr>
        <w:t>dislipidemiaaterogénica</w:t>
      </w:r>
      <w:proofErr w:type="spellEnd"/>
      <w:r w:rsidRPr="005B4571">
        <w:rPr>
          <w:rFonts w:asciiTheme="minorHAnsi" w:hAnsiTheme="minorHAnsi" w:cs="Trebuchet MS"/>
          <w:color w:val="000000"/>
          <w:lang w:val="es-AR" w:eastAsia="es-AR"/>
        </w:rPr>
        <w:t xml:space="preserve">, hipertensión arterial, e </w:t>
      </w:r>
      <w:proofErr w:type="spellStart"/>
      <w:r w:rsidRPr="005B4571">
        <w:rPr>
          <w:rFonts w:asciiTheme="minorHAnsi" w:hAnsiTheme="minorHAnsi" w:cs="Trebuchet MS"/>
          <w:color w:val="000000"/>
          <w:lang w:val="es-AR" w:eastAsia="es-AR"/>
        </w:rPr>
        <w:t>insulinorresistencia</w:t>
      </w:r>
      <w:proofErr w:type="spellEnd"/>
      <w:r w:rsidRPr="005B4571">
        <w:rPr>
          <w:rFonts w:asciiTheme="minorHAnsi" w:hAnsiTheme="minorHAnsi" w:cs="Trebuchet MS"/>
          <w:color w:val="000000"/>
          <w:lang w:val="es-AR" w:eastAsia="es-AR"/>
        </w:rPr>
        <w:t xml:space="preserve">) que predisponen a los pacientes a la inflamación sistémica y enfermedad cardiovascular. </w:t>
      </w:r>
    </w:p>
    <w:p w:rsidR="005B4571" w:rsidRPr="005B4571" w:rsidRDefault="005B4571" w:rsidP="00CA0496">
      <w:pPr>
        <w:autoSpaceDE w:val="0"/>
        <w:autoSpaceDN w:val="0"/>
        <w:adjustRightInd w:val="0"/>
        <w:spacing w:after="0"/>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Así como la hipertensión, diabetes, y </w:t>
      </w:r>
      <w:proofErr w:type="spellStart"/>
      <w:r w:rsidRPr="005B4571">
        <w:rPr>
          <w:rFonts w:asciiTheme="minorHAnsi" w:hAnsiTheme="minorHAnsi" w:cs="Trebuchet MS"/>
          <w:color w:val="000000"/>
          <w:lang w:val="es-AR" w:eastAsia="es-AR"/>
        </w:rPr>
        <w:t>dislipidemia</w:t>
      </w:r>
      <w:proofErr w:type="spellEnd"/>
      <w:r w:rsidRPr="005B4571">
        <w:rPr>
          <w:rFonts w:asciiTheme="minorHAnsi" w:hAnsiTheme="minorHAnsi" w:cs="Trebuchet MS"/>
          <w:color w:val="000000"/>
          <w:lang w:val="es-AR" w:eastAsia="es-AR"/>
        </w:rPr>
        <w:t xml:space="preserve"> se encuentran frecuentemente en pacientes con EPOC, la frecuencia y las consecuencias asociadas del SM necesitan más estudios en esta población. </w:t>
      </w:r>
    </w:p>
    <w:p w:rsidR="005B4571" w:rsidRPr="005B4571" w:rsidRDefault="005B4571" w:rsidP="00CA0496">
      <w:pPr>
        <w:autoSpaceDE w:val="0"/>
        <w:autoSpaceDN w:val="0"/>
        <w:adjustRightInd w:val="0"/>
        <w:spacing w:after="23"/>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 El SM está frecuentemente presente en pacientes con EPOC. </w:t>
      </w:r>
    </w:p>
    <w:p w:rsidR="009D4AC7" w:rsidRDefault="005B4571" w:rsidP="00CA0496">
      <w:pPr>
        <w:autoSpaceDE w:val="0"/>
        <w:autoSpaceDN w:val="0"/>
        <w:adjustRightInd w:val="0"/>
        <w:spacing w:after="23"/>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Se debe realizar </w:t>
      </w:r>
      <w:proofErr w:type="spellStart"/>
      <w:r w:rsidRPr="005B4571">
        <w:rPr>
          <w:rFonts w:asciiTheme="minorHAnsi" w:hAnsiTheme="minorHAnsi" w:cs="Trebuchet MS"/>
          <w:color w:val="000000"/>
          <w:lang w:val="es-AR" w:eastAsia="es-AR"/>
        </w:rPr>
        <w:t>espirometría</w:t>
      </w:r>
      <w:proofErr w:type="spellEnd"/>
      <w:r w:rsidRPr="005B4571">
        <w:rPr>
          <w:rFonts w:asciiTheme="minorHAnsi" w:hAnsiTheme="minorHAnsi" w:cs="Trebuchet MS"/>
          <w:color w:val="000000"/>
          <w:lang w:val="es-AR" w:eastAsia="es-AR"/>
        </w:rPr>
        <w:t xml:space="preserve"> en mayores de 40 años, fumadores y con síntomas respiratorios </w:t>
      </w:r>
    </w:p>
    <w:p w:rsidR="005B4571" w:rsidRPr="005B4571" w:rsidRDefault="005B4571" w:rsidP="00CA0496">
      <w:pPr>
        <w:autoSpaceDE w:val="0"/>
        <w:autoSpaceDN w:val="0"/>
        <w:adjustRightInd w:val="0"/>
        <w:spacing w:after="23"/>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 Hay una correlación patogénica compleja con implicancias fisiopatológicas entre la EPOC y el SM. </w:t>
      </w:r>
    </w:p>
    <w:p w:rsidR="005B4571" w:rsidRPr="005B4571" w:rsidRDefault="005B4571" w:rsidP="00CA0496">
      <w:pPr>
        <w:autoSpaceDE w:val="0"/>
        <w:autoSpaceDN w:val="0"/>
        <w:adjustRightInd w:val="0"/>
        <w:spacing w:after="23"/>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 Los componentes de la EPOC y el SM requieren mucha atención para su correcto tratamiento. </w:t>
      </w:r>
    </w:p>
    <w:p w:rsidR="005B4571" w:rsidRPr="005B4571" w:rsidRDefault="005B4571" w:rsidP="00CA0496">
      <w:pPr>
        <w:autoSpaceDE w:val="0"/>
        <w:autoSpaceDN w:val="0"/>
        <w:adjustRightInd w:val="0"/>
        <w:spacing w:after="23"/>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 El modelo de la rehabilitación, incluyendo la actividad física puede ser el camino para el mejor manejo de estas condiciones coexistentes. </w:t>
      </w:r>
    </w:p>
    <w:p w:rsidR="009D4AC7" w:rsidRDefault="005B4571" w:rsidP="00CA0496">
      <w:pPr>
        <w:autoSpaceDE w:val="0"/>
        <w:autoSpaceDN w:val="0"/>
        <w:adjustRightInd w:val="0"/>
        <w:spacing w:after="23"/>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Ambas enfermedades son extremadamente prevalentes y muy costosas. </w:t>
      </w:r>
    </w:p>
    <w:p w:rsidR="005B4571" w:rsidRPr="005B4571" w:rsidRDefault="005B4571" w:rsidP="00CA0496">
      <w:pPr>
        <w:autoSpaceDE w:val="0"/>
        <w:autoSpaceDN w:val="0"/>
        <w:adjustRightInd w:val="0"/>
        <w:spacing w:after="23"/>
        <w:jc w:val="both"/>
        <w:rPr>
          <w:rFonts w:asciiTheme="minorHAnsi" w:hAnsiTheme="minorHAnsi" w:cs="Trebuchet MS"/>
          <w:color w:val="000000"/>
          <w:lang w:val="es-AR" w:eastAsia="es-AR"/>
        </w:rPr>
      </w:pPr>
      <w:r w:rsidRPr="005B4571">
        <w:rPr>
          <w:rFonts w:asciiTheme="minorHAnsi" w:hAnsiTheme="minorHAnsi" w:cs="Trebuchet MS"/>
          <w:color w:val="000000"/>
          <w:lang w:val="es-AR" w:eastAsia="es-AR"/>
        </w:rPr>
        <w:t xml:space="preserve"> Ambas enfermedades tienen que ver con estilos de vida (alimentación, tabaquismo); también comparten aspectos patogénicos como la inflamación y la inmovilidad; además complicaciones secundarias como los tumores o las enfermedades cardiovasculares y ambas se potencian para mutuamente disminuir el estado de salud y la calidad de vida de los pacientes, comparten una alta morbilidad y mortalidad y finalmente ambas como dice la definición de la EPOC pueden ser prevenidas y tratadas</w:t>
      </w:r>
      <w:r w:rsidRPr="005B4571">
        <w:rPr>
          <w:rFonts w:asciiTheme="minorHAnsi" w:hAnsiTheme="minorHAnsi" w:cs="Trebuchet MS"/>
          <w:b/>
          <w:bCs/>
          <w:color w:val="000000"/>
          <w:lang w:val="es-AR" w:eastAsia="es-AR"/>
        </w:rPr>
        <w:t xml:space="preserve">. </w:t>
      </w:r>
    </w:p>
    <w:p w:rsidR="009D4AC7" w:rsidRDefault="00E66883" w:rsidP="00CA0496">
      <w:pPr>
        <w:jc w:val="both"/>
        <w:rPr>
          <w:rFonts w:asciiTheme="minorHAnsi" w:hAnsiTheme="minorHAnsi" w:cs="Arial"/>
          <w:bCs/>
          <w:lang w:val="es-AR"/>
        </w:rPr>
      </w:pPr>
      <w:r w:rsidRPr="009D4AC7">
        <w:rPr>
          <w:rFonts w:asciiTheme="minorHAnsi" w:hAnsiTheme="minorHAnsi" w:cs="Arial"/>
          <w:bCs/>
          <w:lang w:val="es-AR"/>
        </w:rPr>
        <w:t xml:space="preserve">Es importante evaluar la presencia de SM en </w:t>
      </w:r>
      <w:r w:rsidR="006753FC" w:rsidRPr="009D4AC7">
        <w:rPr>
          <w:rFonts w:asciiTheme="minorHAnsi" w:hAnsiTheme="minorHAnsi" w:cs="Arial"/>
          <w:bCs/>
          <w:lang w:val="es-AR"/>
        </w:rPr>
        <w:t xml:space="preserve">los </w:t>
      </w:r>
      <w:r w:rsidRPr="009D4AC7">
        <w:rPr>
          <w:rFonts w:asciiTheme="minorHAnsi" w:hAnsiTheme="minorHAnsi" w:cs="Arial"/>
          <w:bCs/>
          <w:lang w:val="es-AR"/>
        </w:rPr>
        <w:t xml:space="preserve"> pacientes</w:t>
      </w:r>
      <w:r w:rsidR="006753FC" w:rsidRPr="009D4AC7">
        <w:rPr>
          <w:rFonts w:asciiTheme="minorHAnsi" w:hAnsiTheme="minorHAnsi" w:cs="Arial"/>
          <w:bCs/>
          <w:lang w:val="es-AR"/>
        </w:rPr>
        <w:t xml:space="preserve"> con EPOC</w:t>
      </w:r>
      <w:r w:rsidR="009D4AC7">
        <w:rPr>
          <w:rFonts w:asciiTheme="minorHAnsi" w:hAnsiTheme="minorHAnsi" w:cs="Arial"/>
          <w:bCs/>
          <w:lang w:val="es-AR"/>
        </w:rPr>
        <w:t>.</w:t>
      </w:r>
    </w:p>
    <w:p w:rsidR="00134436" w:rsidRDefault="00134436" w:rsidP="00CA0496">
      <w:pPr>
        <w:rPr>
          <w:rFonts w:asciiTheme="minorHAnsi" w:hAnsiTheme="minorHAnsi" w:cstheme="minorHAnsi"/>
          <w:b/>
          <w:bCs/>
          <w:lang w:val="es-AR"/>
        </w:rPr>
      </w:pPr>
    </w:p>
    <w:p w:rsidR="00CA0496" w:rsidRPr="001C20BF" w:rsidRDefault="00CA0496" w:rsidP="00CA0496">
      <w:pPr>
        <w:rPr>
          <w:rFonts w:asciiTheme="minorHAnsi" w:hAnsiTheme="minorHAnsi" w:cstheme="minorHAnsi"/>
          <w:b/>
          <w:bCs/>
          <w:lang w:val="es-AR"/>
        </w:rPr>
      </w:pPr>
      <w:r w:rsidRPr="001C20BF">
        <w:rPr>
          <w:rFonts w:asciiTheme="minorHAnsi" w:hAnsiTheme="minorHAnsi" w:cstheme="minorHAnsi"/>
          <w:b/>
          <w:bCs/>
          <w:lang w:val="es-AR"/>
        </w:rPr>
        <w:t>Bibliografía</w:t>
      </w: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r w:rsidRPr="001C20BF">
        <w:rPr>
          <w:rFonts w:asciiTheme="minorHAnsi" w:hAnsiTheme="minorHAnsi" w:cstheme="minorHAnsi"/>
          <w:color w:val="000000"/>
          <w:lang w:val="es-AR" w:eastAsia="es-AR"/>
        </w:rPr>
        <w:t xml:space="preserve">Barnes PJ, </w:t>
      </w:r>
      <w:proofErr w:type="spellStart"/>
      <w:r w:rsidRPr="001C20BF">
        <w:rPr>
          <w:rFonts w:asciiTheme="minorHAnsi" w:hAnsiTheme="minorHAnsi" w:cstheme="minorHAnsi"/>
          <w:color w:val="000000"/>
          <w:lang w:val="es-AR" w:eastAsia="es-AR"/>
        </w:rPr>
        <w:t>Celli</w:t>
      </w:r>
      <w:proofErr w:type="spellEnd"/>
      <w:r w:rsidRPr="001C20BF">
        <w:rPr>
          <w:rFonts w:asciiTheme="minorHAnsi" w:hAnsiTheme="minorHAnsi" w:cstheme="minorHAnsi"/>
          <w:color w:val="000000"/>
          <w:lang w:val="es-AR" w:eastAsia="es-AR"/>
        </w:rPr>
        <w:t xml:space="preserve"> BR. </w:t>
      </w:r>
      <w:r w:rsidRPr="006D610B">
        <w:rPr>
          <w:rFonts w:asciiTheme="minorHAnsi" w:hAnsiTheme="minorHAnsi" w:cstheme="minorHAnsi"/>
          <w:color w:val="000000"/>
          <w:lang w:eastAsia="es-AR"/>
        </w:rPr>
        <w:t xml:space="preserve">Systemic manifestations and </w:t>
      </w:r>
      <w:proofErr w:type="spellStart"/>
      <w:r w:rsidRPr="006D610B">
        <w:rPr>
          <w:rFonts w:asciiTheme="minorHAnsi" w:hAnsiTheme="minorHAnsi" w:cstheme="minorHAnsi"/>
          <w:color w:val="000000"/>
          <w:lang w:eastAsia="es-AR"/>
        </w:rPr>
        <w:t>comorbidities</w:t>
      </w:r>
      <w:proofErr w:type="spellEnd"/>
      <w:r w:rsidRPr="006D610B">
        <w:rPr>
          <w:rFonts w:asciiTheme="minorHAnsi" w:hAnsiTheme="minorHAnsi" w:cstheme="minorHAnsi"/>
          <w:color w:val="000000"/>
          <w:lang w:eastAsia="es-AR"/>
        </w:rPr>
        <w:t xml:space="preserve"> of COPD. </w:t>
      </w:r>
      <w:proofErr w:type="spellStart"/>
      <w:r w:rsidRPr="006D610B">
        <w:rPr>
          <w:rFonts w:asciiTheme="minorHAnsi" w:hAnsiTheme="minorHAnsi" w:cstheme="minorHAnsi"/>
          <w:color w:val="000000"/>
          <w:lang w:eastAsia="es-AR"/>
        </w:rPr>
        <w:t>EurRespir</w:t>
      </w:r>
      <w:proofErr w:type="spellEnd"/>
      <w:r w:rsidRPr="006D610B">
        <w:rPr>
          <w:rFonts w:asciiTheme="minorHAnsi" w:hAnsiTheme="minorHAnsi" w:cstheme="minorHAnsi"/>
          <w:color w:val="000000"/>
          <w:lang w:eastAsia="es-AR"/>
        </w:rPr>
        <w:t xml:space="preserve"> J 2009;</w:t>
      </w:r>
      <w:r>
        <w:rPr>
          <w:rFonts w:asciiTheme="minorHAnsi" w:hAnsiTheme="minorHAnsi" w:cstheme="minorHAnsi"/>
          <w:color w:val="000000"/>
          <w:lang w:eastAsia="es-AR"/>
        </w:rPr>
        <w:t xml:space="preserve"> </w:t>
      </w:r>
      <w:r w:rsidRPr="006D610B">
        <w:rPr>
          <w:rFonts w:asciiTheme="minorHAnsi" w:hAnsiTheme="minorHAnsi" w:cstheme="minorHAnsi"/>
          <w:color w:val="000000"/>
          <w:lang w:eastAsia="es-AR"/>
        </w:rPr>
        <w:t xml:space="preserve">33:1165–1185 </w:t>
      </w:r>
    </w:p>
    <w:p w:rsidR="00CA0496"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proofErr w:type="spellStart"/>
      <w:r>
        <w:rPr>
          <w:rFonts w:asciiTheme="minorHAnsi" w:hAnsiTheme="minorHAnsi" w:cstheme="minorHAnsi"/>
          <w:color w:val="000000"/>
          <w:lang w:eastAsia="es-AR"/>
        </w:rPr>
        <w:t>Crisafulli</w:t>
      </w:r>
      <w:proofErr w:type="spellEnd"/>
      <w:r>
        <w:rPr>
          <w:rFonts w:asciiTheme="minorHAnsi" w:hAnsiTheme="minorHAnsi" w:cstheme="minorHAnsi"/>
          <w:color w:val="000000"/>
          <w:lang w:eastAsia="es-AR"/>
        </w:rPr>
        <w:t xml:space="preserve"> E,</w:t>
      </w:r>
      <w:r w:rsidR="00134436">
        <w:rPr>
          <w:rFonts w:asciiTheme="minorHAnsi" w:hAnsiTheme="minorHAnsi" w:cstheme="minorHAnsi"/>
          <w:color w:val="000000"/>
          <w:lang w:eastAsia="es-AR"/>
        </w:rPr>
        <w:t xml:space="preserve"> </w:t>
      </w:r>
      <w:proofErr w:type="spellStart"/>
      <w:r>
        <w:rPr>
          <w:rFonts w:asciiTheme="minorHAnsi" w:hAnsiTheme="minorHAnsi" w:cstheme="minorHAnsi"/>
          <w:color w:val="000000"/>
          <w:lang w:eastAsia="es-AR"/>
        </w:rPr>
        <w:t>Costi</w:t>
      </w:r>
      <w:proofErr w:type="spellEnd"/>
      <w:r>
        <w:rPr>
          <w:rFonts w:asciiTheme="minorHAnsi" w:hAnsiTheme="minorHAnsi" w:cstheme="minorHAnsi"/>
          <w:color w:val="000000"/>
          <w:lang w:eastAsia="es-AR"/>
        </w:rPr>
        <w:t xml:space="preserve"> S, </w:t>
      </w:r>
      <w:proofErr w:type="spellStart"/>
      <w:r>
        <w:rPr>
          <w:rFonts w:asciiTheme="minorHAnsi" w:hAnsiTheme="minorHAnsi" w:cstheme="minorHAnsi"/>
          <w:color w:val="000000"/>
          <w:lang w:eastAsia="es-AR"/>
        </w:rPr>
        <w:t>Luppi</w:t>
      </w:r>
      <w:proofErr w:type="spellEnd"/>
      <w:r>
        <w:rPr>
          <w:rFonts w:asciiTheme="minorHAnsi" w:hAnsiTheme="minorHAnsi" w:cstheme="minorHAnsi"/>
          <w:color w:val="000000"/>
          <w:lang w:eastAsia="es-AR"/>
        </w:rPr>
        <w:t xml:space="preserve"> F,</w:t>
      </w:r>
      <w:r w:rsidRPr="006D610B">
        <w:rPr>
          <w:rFonts w:asciiTheme="minorHAnsi" w:hAnsiTheme="minorHAnsi" w:cstheme="minorHAnsi"/>
          <w:color w:val="000000"/>
          <w:lang w:eastAsia="es-AR"/>
        </w:rPr>
        <w:t xml:space="preserve"> et al. Role of </w:t>
      </w:r>
      <w:proofErr w:type="spellStart"/>
      <w:r w:rsidRPr="006D610B">
        <w:rPr>
          <w:rFonts w:asciiTheme="minorHAnsi" w:hAnsiTheme="minorHAnsi" w:cstheme="minorHAnsi"/>
          <w:color w:val="000000"/>
          <w:lang w:eastAsia="es-AR"/>
        </w:rPr>
        <w:t>comorbidities</w:t>
      </w:r>
      <w:proofErr w:type="spellEnd"/>
      <w:r w:rsidRPr="006D610B">
        <w:rPr>
          <w:rFonts w:asciiTheme="minorHAnsi" w:hAnsiTheme="minorHAnsi" w:cstheme="minorHAnsi"/>
          <w:color w:val="000000"/>
          <w:lang w:eastAsia="es-AR"/>
        </w:rPr>
        <w:t xml:space="preserve"> in a cohort of COPD patients undergoing pulmonary rehabilitation. Thorax 2008;</w:t>
      </w:r>
      <w:r>
        <w:rPr>
          <w:rFonts w:asciiTheme="minorHAnsi" w:hAnsiTheme="minorHAnsi" w:cstheme="minorHAnsi"/>
          <w:color w:val="000000"/>
          <w:lang w:eastAsia="es-AR"/>
        </w:rPr>
        <w:t xml:space="preserve"> </w:t>
      </w:r>
      <w:r w:rsidRPr="006D610B">
        <w:rPr>
          <w:rFonts w:asciiTheme="minorHAnsi" w:hAnsiTheme="minorHAnsi" w:cstheme="minorHAnsi"/>
          <w:color w:val="000000"/>
          <w:lang w:eastAsia="es-AR"/>
        </w:rPr>
        <w:t xml:space="preserve">63:487-492 </w:t>
      </w:r>
    </w:p>
    <w:p w:rsidR="00CA0496"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CA0496" w:rsidRDefault="00CA0496" w:rsidP="00CA0496">
      <w:pPr>
        <w:autoSpaceDE w:val="0"/>
        <w:autoSpaceDN w:val="0"/>
        <w:adjustRightInd w:val="0"/>
        <w:spacing w:after="0"/>
        <w:jc w:val="both"/>
        <w:rPr>
          <w:rFonts w:asciiTheme="minorHAnsi" w:hAnsiTheme="minorHAnsi" w:cstheme="minorHAnsi"/>
          <w:color w:val="000000"/>
          <w:lang w:val="es-AR" w:eastAsia="es-AR"/>
        </w:rPr>
      </w:pPr>
      <w:r>
        <w:rPr>
          <w:rFonts w:asciiTheme="minorHAnsi" w:hAnsiTheme="minorHAnsi" w:cstheme="minorHAnsi"/>
          <w:color w:val="000000"/>
          <w:lang w:eastAsia="es-AR"/>
        </w:rPr>
        <w:t>Ford E, Giles W,</w:t>
      </w:r>
      <w:r w:rsidRPr="006D610B">
        <w:rPr>
          <w:rFonts w:asciiTheme="minorHAnsi" w:hAnsiTheme="minorHAnsi" w:cstheme="minorHAnsi"/>
          <w:color w:val="000000"/>
          <w:lang w:eastAsia="es-AR"/>
        </w:rPr>
        <w:t xml:space="preserve"> Dietz W. Prevalence of the metabolic syndrome among US adults: findings from the third National Health and Nutrition Examination Survey. </w:t>
      </w:r>
      <w:r w:rsidRPr="00CA0496">
        <w:rPr>
          <w:rFonts w:asciiTheme="minorHAnsi" w:hAnsiTheme="minorHAnsi" w:cstheme="minorHAnsi"/>
          <w:color w:val="000000"/>
          <w:lang w:val="es-AR" w:eastAsia="es-AR"/>
        </w:rPr>
        <w:t xml:space="preserve">JAMA 2002; 287:356–359. </w:t>
      </w:r>
    </w:p>
    <w:p w:rsidR="00CA0496" w:rsidRPr="00CA0496" w:rsidRDefault="00CA0496" w:rsidP="00CA0496">
      <w:pPr>
        <w:autoSpaceDE w:val="0"/>
        <w:autoSpaceDN w:val="0"/>
        <w:adjustRightInd w:val="0"/>
        <w:spacing w:after="0"/>
        <w:jc w:val="both"/>
        <w:rPr>
          <w:rFonts w:asciiTheme="minorHAnsi" w:hAnsiTheme="minorHAnsi" w:cstheme="minorHAnsi"/>
          <w:color w:val="000000"/>
          <w:lang w:val="es-AR" w:eastAsia="es-AR"/>
        </w:rPr>
      </w:pP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r w:rsidRPr="00CA0496">
        <w:rPr>
          <w:rFonts w:asciiTheme="minorHAnsi" w:hAnsiTheme="minorHAnsi" w:cstheme="minorHAnsi"/>
          <w:color w:val="000000"/>
          <w:lang w:val="es-AR" w:eastAsia="es-AR"/>
        </w:rPr>
        <w:lastRenderedPageBreak/>
        <w:t xml:space="preserve">Ford E, Kohl H III, </w:t>
      </w:r>
      <w:proofErr w:type="spellStart"/>
      <w:r w:rsidRPr="00CA0496">
        <w:rPr>
          <w:rFonts w:asciiTheme="minorHAnsi" w:hAnsiTheme="minorHAnsi" w:cstheme="minorHAnsi"/>
          <w:color w:val="000000"/>
          <w:lang w:val="es-AR" w:eastAsia="es-AR"/>
        </w:rPr>
        <w:t>Mokdad</w:t>
      </w:r>
      <w:proofErr w:type="spellEnd"/>
      <w:r w:rsidRPr="00CA0496">
        <w:rPr>
          <w:rFonts w:asciiTheme="minorHAnsi" w:hAnsiTheme="minorHAnsi" w:cstheme="minorHAnsi"/>
          <w:color w:val="000000"/>
          <w:lang w:val="es-AR" w:eastAsia="es-AR"/>
        </w:rPr>
        <w:t xml:space="preserve"> A, et al. </w:t>
      </w:r>
      <w:proofErr w:type="gramStart"/>
      <w:r w:rsidRPr="006D610B">
        <w:rPr>
          <w:rFonts w:asciiTheme="minorHAnsi" w:hAnsiTheme="minorHAnsi" w:cstheme="minorHAnsi"/>
          <w:color w:val="000000"/>
          <w:lang w:eastAsia="es-AR"/>
        </w:rPr>
        <w:t>Sedentary behavior, physical activity, and the metabolic syndrome among US adults.</w:t>
      </w:r>
      <w:proofErr w:type="gramEnd"/>
      <w:r>
        <w:rPr>
          <w:rFonts w:asciiTheme="minorHAnsi" w:hAnsiTheme="minorHAnsi" w:cstheme="minorHAnsi"/>
          <w:color w:val="000000"/>
          <w:lang w:eastAsia="es-AR"/>
        </w:rPr>
        <w:t xml:space="preserve"> </w:t>
      </w:r>
      <w:proofErr w:type="spellStart"/>
      <w:r w:rsidRPr="006D610B">
        <w:rPr>
          <w:rFonts w:asciiTheme="minorHAnsi" w:hAnsiTheme="minorHAnsi" w:cstheme="minorHAnsi"/>
          <w:color w:val="000000"/>
          <w:lang w:eastAsia="es-AR"/>
        </w:rPr>
        <w:t>Obes</w:t>
      </w:r>
      <w:proofErr w:type="spellEnd"/>
      <w:r w:rsidRPr="006D610B">
        <w:rPr>
          <w:rFonts w:asciiTheme="minorHAnsi" w:hAnsiTheme="minorHAnsi" w:cstheme="minorHAnsi"/>
          <w:color w:val="000000"/>
          <w:lang w:eastAsia="es-AR"/>
        </w:rPr>
        <w:t xml:space="preserve"> Res 2005</w:t>
      </w:r>
      <w:proofErr w:type="gramStart"/>
      <w:r w:rsidRPr="006D610B">
        <w:rPr>
          <w:rFonts w:asciiTheme="minorHAnsi" w:hAnsiTheme="minorHAnsi" w:cstheme="minorHAnsi"/>
          <w:color w:val="000000"/>
          <w:lang w:eastAsia="es-AR"/>
        </w:rPr>
        <w:t>;13:608</w:t>
      </w:r>
      <w:proofErr w:type="gramEnd"/>
      <w:r w:rsidRPr="006D610B">
        <w:rPr>
          <w:rFonts w:asciiTheme="minorHAnsi" w:hAnsiTheme="minorHAnsi" w:cstheme="minorHAnsi"/>
          <w:color w:val="000000"/>
          <w:lang w:eastAsia="es-AR"/>
        </w:rPr>
        <w:t xml:space="preserve">–614 </w:t>
      </w:r>
    </w:p>
    <w:p w:rsidR="00CA0496"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proofErr w:type="spellStart"/>
      <w:r>
        <w:rPr>
          <w:rFonts w:asciiTheme="minorHAnsi" w:hAnsiTheme="minorHAnsi" w:cstheme="minorHAnsi"/>
          <w:color w:val="000000"/>
          <w:lang w:eastAsia="es-AR"/>
        </w:rPr>
        <w:t>Gan</w:t>
      </w:r>
      <w:proofErr w:type="spellEnd"/>
      <w:r>
        <w:rPr>
          <w:rFonts w:asciiTheme="minorHAnsi" w:hAnsiTheme="minorHAnsi" w:cstheme="minorHAnsi"/>
          <w:color w:val="000000"/>
          <w:lang w:eastAsia="es-AR"/>
        </w:rPr>
        <w:t xml:space="preserve"> W, Man S, </w:t>
      </w:r>
      <w:proofErr w:type="spellStart"/>
      <w:r>
        <w:rPr>
          <w:rFonts w:asciiTheme="minorHAnsi" w:hAnsiTheme="minorHAnsi" w:cstheme="minorHAnsi"/>
          <w:color w:val="000000"/>
          <w:lang w:eastAsia="es-AR"/>
        </w:rPr>
        <w:t>Senthilselvan</w:t>
      </w:r>
      <w:proofErr w:type="spellEnd"/>
      <w:r>
        <w:rPr>
          <w:rFonts w:asciiTheme="minorHAnsi" w:hAnsiTheme="minorHAnsi" w:cstheme="minorHAnsi"/>
          <w:color w:val="000000"/>
          <w:lang w:eastAsia="es-AR"/>
        </w:rPr>
        <w:t xml:space="preserve"> A,</w:t>
      </w:r>
      <w:r w:rsidRPr="006D610B">
        <w:rPr>
          <w:rFonts w:asciiTheme="minorHAnsi" w:hAnsiTheme="minorHAnsi" w:cstheme="minorHAnsi"/>
          <w:color w:val="000000"/>
          <w:lang w:eastAsia="es-AR"/>
        </w:rPr>
        <w:t xml:space="preserve"> Sin D. Association between chronic obstructive pulmonary disease and systemic inflammation: a systematic review and a meta-analysis. Thorax 2004;</w:t>
      </w:r>
      <w:r>
        <w:rPr>
          <w:rFonts w:asciiTheme="minorHAnsi" w:hAnsiTheme="minorHAnsi" w:cstheme="minorHAnsi"/>
          <w:color w:val="000000"/>
          <w:lang w:eastAsia="es-AR"/>
        </w:rPr>
        <w:t xml:space="preserve"> </w:t>
      </w:r>
      <w:r w:rsidRPr="006D610B">
        <w:rPr>
          <w:rFonts w:asciiTheme="minorHAnsi" w:hAnsiTheme="minorHAnsi" w:cstheme="minorHAnsi"/>
          <w:color w:val="000000"/>
          <w:lang w:eastAsia="es-AR"/>
        </w:rPr>
        <w:t xml:space="preserve">59:574–580 </w:t>
      </w:r>
    </w:p>
    <w:p w:rsidR="00CA0496"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r w:rsidRPr="006D610B">
        <w:rPr>
          <w:rFonts w:asciiTheme="minorHAnsi" w:hAnsiTheme="minorHAnsi" w:cstheme="minorHAnsi"/>
          <w:color w:val="000000"/>
          <w:lang w:eastAsia="es-AR"/>
        </w:rPr>
        <w:t xml:space="preserve">Global Burden of COPD: Systematic review and meta-analysis. </w:t>
      </w:r>
      <w:proofErr w:type="spellStart"/>
      <w:r w:rsidRPr="006D610B">
        <w:rPr>
          <w:rFonts w:asciiTheme="minorHAnsi" w:hAnsiTheme="minorHAnsi" w:cstheme="minorHAnsi"/>
          <w:color w:val="000000"/>
          <w:lang w:eastAsia="es-AR"/>
        </w:rPr>
        <w:t>Halbert</w:t>
      </w:r>
      <w:proofErr w:type="spellEnd"/>
      <w:r>
        <w:rPr>
          <w:rFonts w:asciiTheme="minorHAnsi" w:hAnsiTheme="minorHAnsi" w:cstheme="minorHAnsi"/>
          <w:color w:val="000000"/>
          <w:lang w:eastAsia="es-AR"/>
        </w:rPr>
        <w:t xml:space="preserve"> </w:t>
      </w:r>
      <w:proofErr w:type="spellStart"/>
      <w:r w:rsidRPr="006D610B">
        <w:rPr>
          <w:rFonts w:asciiTheme="minorHAnsi" w:hAnsiTheme="minorHAnsi" w:cstheme="minorHAnsi"/>
          <w:color w:val="000000"/>
          <w:lang w:eastAsia="es-AR"/>
        </w:rPr>
        <w:t>Eur</w:t>
      </w:r>
      <w:proofErr w:type="spellEnd"/>
      <w:r>
        <w:rPr>
          <w:rFonts w:asciiTheme="minorHAnsi" w:hAnsiTheme="minorHAnsi" w:cstheme="minorHAnsi"/>
          <w:color w:val="000000"/>
          <w:lang w:eastAsia="es-AR"/>
        </w:rPr>
        <w:t xml:space="preserve"> </w:t>
      </w:r>
      <w:proofErr w:type="spellStart"/>
      <w:r w:rsidRPr="006D610B">
        <w:rPr>
          <w:rFonts w:asciiTheme="minorHAnsi" w:hAnsiTheme="minorHAnsi" w:cstheme="minorHAnsi"/>
          <w:color w:val="000000"/>
          <w:lang w:eastAsia="es-AR"/>
        </w:rPr>
        <w:t>Respir</w:t>
      </w:r>
      <w:proofErr w:type="spellEnd"/>
      <w:r w:rsidRPr="006D610B">
        <w:rPr>
          <w:rFonts w:asciiTheme="minorHAnsi" w:hAnsiTheme="minorHAnsi" w:cstheme="minorHAnsi"/>
          <w:color w:val="000000"/>
          <w:lang w:eastAsia="es-AR"/>
        </w:rPr>
        <w:t xml:space="preserve"> J 2006</w:t>
      </w:r>
      <w:proofErr w:type="gramStart"/>
      <w:r w:rsidRPr="006D610B">
        <w:rPr>
          <w:rFonts w:asciiTheme="minorHAnsi" w:hAnsiTheme="minorHAnsi" w:cstheme="minorHAnsi"/>
          <w:color w:val="000000"/>
          <w:lang w:eastAsia="es-AR"/>
        </w:rPr>
        <w:t>;28</w:t>
      </w:r>
      <w:proofErr w:type="gramEnd"/>
      <w:r w:rsidRPr="006D610B">
        <w:rPr>
          <w:rFonts w:asciiTheme="minorHAnsi" w:hAnsiTheme="minorHAnsi" w:cstheme="minorHAnsi"/>
          <w:color w:val="000000"/>
          <w:lang w:eastAsia="es-AR"/>
        </w:rPr>
        <w:t xml:space="preserve">: 523 </w:t>
      </w:r>
    </w:p>
    <w:p w:rsidR="00CA0496" w:rsidRDefault="00CA0496" w:rsidP="00CA0496">
      <w:pPr>
        <w:jc w:val="both"/>
        <w:rPr>
          <w:rFonts w:asciiTheme="minorHAnsi" w:hAnsiTheme="minorHAnsi" w:cstheme="minorHAnsi"/>
          <w:bCs/>
        </w:rPr>
      </w:pPr>
      <w:r w:rsidRPr="006D610B">
        <w:rPr>
          <w:rFonts w:asciiTheme="minorHAnsi" w:hAnsiTheme="minorHAnsi" w:cstheme="minorHAnsi"/>
          <w:bCs/>
        </w:rPr>
        <w:t xml:space="preserve">GOLD Report Jun 2014 </w:t>
      </w:r>
    </w:p>
    <w:p w:rsidR="00CA0496" w:rsidRPr="001C20BF" w:rsidRDefault="00CA0496" w:rsidP="00CA0496">
      <w:pPr>
        <w:jc w:val="both"/>
        <w:rPr>
          <w:rFonts w:asciiTheme="minorHAnsi" w:hAnsiTheme="minorHAnsi" w:cstheme="minorHAnsi"/>
          <w:bCs/>
          <w:lang w:val="es-AR"/>
        </w:rPr>
      </w:pPr>
      <w:proofErr w:type="spellStart"/>
      <w:r>
        <w:rPr>
          <w:rFonts w:asciiTheme="minorHAnsi" w:hAnsiTheme="minorHAnsi" w:cstheme="minorHAnsi"/>
          <w:color w:val="000000"/>
          <w:lang w:eastAsia="es-AR"/>
        </w:rPr>
        <w:t>Groenewegen</w:t>
      </w:r>
      <w:proofErr w:type="spellEnd"/>
      <w:r>
        <w:rPr>
          <w:rFonts w:asciiTheme="minorHAnsi" w:hAnsiTheme="minorHAnsi" w:cstheme="minorHAnsi"/>
          <w:color w:val="000000"/>
          <w:lang w:eastAsia="es-AR"/>
        </w:rPr>
        <w:t xml:space="preserve"> K, </w:t>
      </w:r>
      <w:proofErr w:type="spellStart"/>
      <w:proofErr w:type="gramStart"/>
      <w:r>
        <w:rPr>
          <w:rFonts w:asciiTheme="minorHAnsi" w:hAnsiTheme="minorHAnsi" w:cstheme="minorHAnsi"/>
          <w:color w:val="000000"/>
          <w:lang w:eastAsia="es-AR"/>
        </w:rPr>
        <w:t>Postma</w:t>
      </w:r>
      <w:proofErr w:type="spellEnd"/>
      <w:r>
        <w:rPr>
          <w:rFonts w:asciiTheme="minorHAnsi" w:hAnsiTheme="minorHAnsi" w:cstheme="minorHAnsi"/>
          <w:color w:val="000000"/>
          <w:lang w:eastAsia="es-AR"/>
        </w:rPr>
        <w:t xml:space="preserve"> ,</w:t>
      </w:r>
      <w:proofErr w:type="gramEnd"/>
      <w:r>
        <w:rPr>
          <w:rFonts w:asciiTheme="minorHAnsi" w:hAnsiTheme="minorHAnsi" w:cstheme="minorHAnsi"/>
          <w:color w:val="000000"/>
          <w:lang w:eastAsia="es-AR"/>
        </w:rPr>
        <w:t xml:space="preserve"> Hop W,</w:t>
      </w:r>
      <w:r w:rsidRPr="006D610B">
        <w:rPr>
          <w:rFonts w:asciiTheme="minorHAnsi" w:hAnsiTheme="minorHAnsi" w:cstheme="minorHAnsi"/>
          <w:color w:val="000000"/>
          <w:lang w:eastAsia="es-AR"/>
        </w:rPr>
        <w:t xml:space="preserve"> et al. Increased systemic inflammation is a risk factor for COPD exacerbations. </w:t>
      </w:r>
      <w:proofErr w:type="spellStart"/>
      <w:r w:rsidRPr="001C20BF">
        <w:rPr>
          <w:rFonts w:asciiTheme="minorHAnsi" w:hAnsiTheme="minorHAnsi" w:cstheme="minorHAnsi"/>
          <w:color w:val="000000"/>
          <w:lang w:val="es-AR" w:eastAsia="es-AR"/>
        </w:rPr>
        <w:t>Chest</w:t>
      </w:r>
      <w:proofErr w:type="spellEnd"/>
      <w:r w:rsidRPr="001C20BF">
        <w:rPr>
          <w:rFonts w:asciiTheme="minorHAnsi" w:hAnsiTheme="minorHAnsi" w:cstheme="minorHAnsi"/>
          <w:color w:val="000000"/>
          <w:lang w:val="es-AR" w:eastAsia="es-AR"/>
        </w:rPr>
        <w:t xml:space="preserve"> 2008; 133:350–357 </w:t>
      </w:r>
    </w:p>
    <w:p w:rsidR="00CA0496" w:rsidRPr="006D610B" w:rsidRDefault="00CA0496" w:rsidP="00CA0496">
      <w:pPr>
        <w:autoSpaceDE w:val="0"/>
        <w:autoSpaceDN w:val="0"/>
        <w:adjustRightInd w:val="0"/>
        <w:spacing w:after="0"/>
        <w:jc w:val="both"/>
        <w:rPr>
          <w:rFonts w:asciiTheme="minorHAnsi" w:hAnsiTheme="minorHAnsi" w:cstheme="minorHAnsi"/>
          <w:color w:val="000000"/>
          <w:lang w:val="es-AR" w:eastAsia="es-AR"/>
        </w:rPr>
      </w:pPr>
      <w:r w:rsidRPr="006D610B">
        <w:rPr>
          <w:rFonts w:asciiTheme="minorHAnsi" w:hAnsiTheme="minorHAnsi" w:cstheme="minorHAnsi"/>
          <w:color w:val="000000"/>
          <w:lang w:val="es-AR" w:eastAsia="es-AR"/>
        </w:rPr>
        <w:t xml:space="preserve">Iniciativa Global para la Enfermedad Pulmonar Obstructiva Crónica. Guía GOLD 2010 </w:t>
      </w:r>
    </w:p>
    <w:p w:rsidR="00CA0496" w:rsidRPr="001C20BF" w:rsidRDefault="00CA0496" w:rsidP="00CA0496">
      <w:pPr>
        <w:autoSpaceDE w:val="0"/>
        <w:autoSpaceDN w:val="0"/>
        <w:adjustRightInd w:val="0"/>
        <w:spacing w:after="0"/>
        <w:jc w:val="both"/>
        <w:rPr>
          <w:rFonts w:asciiTheme="minorHAnsi" w:hAnsiTheme="minorHAnsi" w:cstheme="minorHAnsi"/>
          <w:color w:val="000000"/>
          <w:lang w:val="es-AR" w:eastAsia="es-AR"/>
        </w:rPr>
      </w:pPr>
    </w:p>
    <w:p w:rsidR="00CA0496" w:rsidRPr="00CA0496" w:rsidRDefault="00CA0496" w:rsidP="00CA0496">
      <w:pPr>
        <w:autoSpaceDE w:val="0"/>
        <w:autoSpaceDN w:val="0"/>
        <w:adjustRightInd w:val="0"/>
        <w:spacing w:after="0"/>
        <w:jc w:val="both"/>
        <w:rPr>
          <w:rStyle w:val="apple-converted-space"/>
          <w:rFonts w:asciiTheme="minorHAnsi" w:hAnsiTheme="minorHAnsi" w:cstheme="minorHAnsi"/>
        </w:rPr>
      </w:pPr>
      <w:r w:rsidRPr="00CA0496">
        <w:rPr>
          <w:rFonts w:asciiTheme="minorHAnsi" w:hAnsiTheme="minorHAnsi" w:cstheme="minorHAnsi"/>
        </w:rPr>
        <w:t>Ito K, Barnes PJ</w:t>
      </w:r>
      <w:r>
        <w:rPr>
          <w:rFonts w:asciiTheme="minorHAnsi" w:hAnsiTheme="minorHAnsi" w:cstheme="minorHAnsi"/>
        </w:rPr>
        <w:t xml:space="preserve">. </w:t>
      </w:r>
      <w:hyperlink r:id="rId12" w:tgtFrame="_blank" w:tooltip="Digital Object Identifier" w:history="1">
        <w:r w:rsidRPr="00CA0496">
          <w:rPr>
            <w:rStyle w:val="Hipervnculo"/>
            <w:rFonts w:asciiTheme="minorHAnsi" w:hAnsiTheme="minorHAnsi" w:cstheme="minorHAnsi"/>
            <w:color w:val="auto"/>
            <w:u w:val="none"/>
            <w:bdr w:val="none" w:sz="0" w:space="0" w:color="auto" w:frame="1"/>
          </w:rPr>
          <w:t>COPD as a Disease of Accelerated Lung Aging</w:t>
        </w:r>
      </w:hyperlink>
      <w:r w:rsidRPr="00CA0496">
        <w:rPr>
          <w:rFonts w:asciiTheme="minorHAnsi" w:hAnsiTheme="minorHAnsi" w:cstheme="minorHAnsi"/>
        </w:rPr>
        <w:t>,</w:t>
      </w:r>
      <w:r w:rsidRPr="00CA0496">
        <w:rPr>
          <w:rStyle w:val="apple-converted-space"/>
          <w:rFonts w:asciiTheme="minorHAnsi" w:hAnsiTheme="minorHAnsi" w:cstheme="minorHAnsi"/>
        </w:rPr>
        <w:t> </w:t>
      </w:r>
      <w:r w:rsidRPr="00CA0496">
        <w:rPr>
          <w:rStyle w:val="nfasis"/>
          <w:rFonts w:asciiTheme="minorHAnsi" w:hAnsiTheme="minorHAnsi" w:cstheme="minorHAnsi"/>
          <w:bdr w:val="none" w:sz="0" w:space="0" w:color="auto" w:frame="1"/>
        </w:rPr>
        <w:t>CHEST</w:t>
      </w:r>
      <w:r>
        <w:rPr>
          <w:rFonts w:asciiTheme="minorHAnsi" w:hAnsiTheme="minorHAnsi" w:cstheme="minorHAnsi"/>
        </w:rPr>
        <w:t xml:space="preserve"> 2009; 135:</w:t>
      </w:r>
      <w:r w:rsidRPr="00CA0496">
        <w:rPr>
          <w:rFonts w:asciiTheme="minorHAnsi" w:hAnsiTheme="minorHAnsi" w:cstheme="minorHAnsi"/>
        </w:rPr>
        <w:t>173-180,</w:t>
      </w:r>
      <w:r w:rsidRPr="00CA0496">
        <w:rPr>
          <w:rStyle w:val="apple-converted-space"/>
          <w:rFonts w:asciiTheme="minorHAnsi" w:hAnsiTheme="minorHAnsi" w:cstheme="minorHAnsi"/>
        </w:rPr>
        <w:t> </w:t>
      </w:r>
    </w:p>
    <w:p w:rsidR="00CA0496" w:rsidRPr="00CA0496" w:rsidRDefault="00CA0496" w:rsidP="00CA0496">
      <w:pPr>
        <w:autoSpaceDE w:val="0"/>
        <w:autoSpaceDN w:val="0"/>
        <w:adjustRightInd w:val="0"/>
        <w:spacing w:after="0"/>
        <w:jc w:val="both"/>
        <w:rPr>
          <w:rFonts w:asciiTheme="minorHAnsi" w:hAnsiTheme="minorHAnsi" w:cstheme="minorHAnsi"/>
          <w:color w:val="000000"/>
          <w:lang w:eastAsia="es-AR"/>
        </w:rPr>
      </w:pPr>
      <w:r w:rsidRPr="00CA0496">
        <w:rPr>
          <w:rFonts w:asciiTheme="minorHAnsi" w:hAnsiTheme="minorHAnsi" w:cstheme="minorHAnsi"/>
          <w:color w:val="000000"/>
          <w:lang w:eastAsia="es-AR"/>
        </w:rPr>
        <w:t xml:space="preserve"> </w:t>
      </w: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proofErr w:type="spellStart"/>
      <w:r w:rsidRPr="006D610B">
        <w:rPr>
          <w:rFonts w:asciiTheme="minorHAnsi" w:hAnsiTheme="minorHAnsi" w:cstheme="minorHAnsi"/>
          <w:color w:val="000000"/>
          <w:lang w:eastAsia="es-AR"/>
        </w:rPr>
        <w:t>Marquiz</w:t>
      </w:r>
      <w:proofErr w:type="spellEnd"/>
      <w:r w:rsidRPr="006D610B">
        <w:rPr>
          <w:rFonts w:asciiTheme="minorHAnsi" w:hAnsiTheme="minorHAnsi" w:cstheme="minorHAnsi"/>
          <w:color w:val="000000"/>
          <w:lang w:eastAsia="es-AR"/>
        </w:rPr>
        <w:t xml:space="preserve"> K et al. </w:t>
      </w:r>
      <w:proofErr w:type="gramStart"/>
      <w:r w:rsidRPr="006D610B">
        <w:rPr>
          <w:rFonts w:asciiTheme="minorHAnsi" w:hAnsiTheme="minorHAnsi" w:cstheme="minorHAnsi"/>
          <w:color w:val="000000"/>
          <w:lang w:eastAsia="es-AR"/>
        </w:rPr>
        <w:t>The metabolic syndrome in patients with COPD.</w:t>
      </w:r>
      <w:proofErr w:type="gramEnd"/>
      <w:r w:rsidRPr="006D610B">
        <w:rPr>
          <w:rFonts w:asciiTheme="minorHAnsi" w:hAnsiTheme="minorHAnsi" w:cstheme="minorHAnsi"/>
          <w:color w:val="000000"/>
          <w:lang w:eastAsia="es-AR"/>
        </w:rPr>
        <w:t xml:space="preserve"> Journal of Cardiopulmonary Rehabilitation 2005;</w:t>
      </w:r>
      <w:r>
        <w:rPr>
          <w:rFonts w:asciiTheme="minorHAnsi" w:hAnsiTheme="minorHAnsi" w:cstheme="minorHAnsi"/>
          <w:color w:val="000000"/>
          <w:lang w:eastAsia="es-AR"/>
        </w:rPr>
        <w:t xml:space="preserve"> </w:t>
      </w:r>
      <w:r w:rsidRPr="006D610B">
        <w:rPr>
          <w:rFonts w:asciiTheme="minorHAnsi" w:hAnsiTheme="minorHAnsi" w:cstheme="minorHAnsi"/>
          <w:color w:val="000000"/>
          <w:lang w:eastAsia="es-AR"/>
        </w:rPr>
        <w:t xml:space="preserve">25:226-232 </w:t>
      </w:r>
    </w:p>
    <w:p w:rsidR="00CA0496"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proofErr w:type="gramStart"/>
      <w:r>
        <w:rPr>
          <w:rFonts w:asciiTheme="minorHAnsi" w:hAnsiTheme="minorHAnsi" w:cstheme="minorHAnsi"/>
          <w:color w:val="000000"/>
          <w:lang w:eastAsia="es-AR"/>
        </w:rPr>
        <w:t>Mora S,</w:t>
      </w:r>
      <w:r w:rsidR="00134436">
        <w:rPr>
          <w:rFonts w:asciiTheme="minorHAnsi" w:hAnsiTheme="minorHAnsi" w:cstheme="minorHAnsi"/>
          <w:color w:val="000000"/>
          <w:lang w:eastAsia="es-AR"/>
        </w:rPr>
        <w:t xml:space="preserve"> </w:t>
      </w:r>
      <w:proofErr w:type="spellStart"/>
      <w:r>
        <w:rPr>
          <w:rFonts w:asciiTheme="minorHAnsi" w:hAnsiTheme="minorHAnsi" w:cstheme="minorHAnsi"/>
          <w:color w:val="000000"/>
          <w:lang w:eastAsia="es-AR"/>
        </w:rPr>
        <w:t>Buring</w:t>
      </w:r>
      <w:proofErr w:type="spellEnd"/>
      <w:r>
        <w:rPr>
          <w:rFonts w:asciiTheme="minorHAnsi" w:hAnsiTheme="minorHAnsi" w:cstheme="minorHAnsi"/>
          <w:color w:val="000000"/>
          <w:lang w:eastAsia="es-AR"/>
        </w:rPr>
        <w:t xml:space="preserve"> J,</w:t>
      </w:r>
      <w:r w:rsidRPr="006D610B">
        <w:rPr>
          <w:rFonts w:asciiTheme="minorHAnsi" w:hAnsiTheme="minorHAnsi" w:cstheme="minorHAnsi"/>
          <w:color w:val="000000"/>
          <w:lang w:eastAsia="es-AR"/>
        </w:rPr>
        <w:t xml:space="preserve"> et al. Association of physical activity and body mass index with novel and traditional cardiovascular biomarkers in women.</w:t>
      </w:r>
      <w:proofErr w:type="gramEnd"/>
      <w:r w:rsidRPr="006D610B">
        <w:rPr>
          <w:rFonts w:asciiTheme="minorHAnsi" w:hAnsiTheme="minorHAnsi" w:cstheme="minorHAnsi"/>
          <w:color w:val="000000"/>
          <w:lang w:eastAsia="es-AR"/>
        </w:rPr>
        <w:t xml:space="preserve"> JAMA 2006;</w:t>
      </w:r>
      <w:r>
        <w:rPr>
          <w:rFonts w:asciiTheme="minorHAnsi" w:hAnsiTheme="minorHAnsi" w:cstheme="minorHAnsi"/>
          <w:color w:val="000000"/>
          <w:lang w:eastAsia="es-AR"/>
        </w:rPr>
        <w:t xml:space="preserve"> </w:t>
      </w:r>
      <w:r w:rsidRPr="006D610B">
        <w:rPr>
          <w:rFonts w:asciiTheme="minorHAnsi" w:hAnsiTheme="minorHAnsi" w:cstheme="minorHAnsi"/>
          <w:color w:val="000000"/>
          <w:lang w:eastAsia="es-AR"/>
        </w:rPr>
        <w:t xml:space="preserve">295:1412–1419 </w:t>
      </w:r>
    </w:p>
    <w:p w:rsidR="00CA0496"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proofErr w:type="spellStart"/>
      <w:r>
        <w:rPr>
          <w:rFonts w:asciiTheme="minorHAnsi" w:hAnsiTheme="minorHAnsi" w:cstheme="minorHAnsi"/>
          <w:color w:val="000000"/>
          <w:lang w:eastAsia="es-AR"/>
        </w:rPr>
        <w:t>Rabe</w:t>
      </w:r>
      <w:proofErr w:type="spellEnd"/>
      <w:r>
        <w:rPr>
          <w:rFonts w:asciiTheme="minorHAnsi" w:hAnsiTheme="minorHAnsi" w:cstheme="minorHAnsi"/>
          <w:color w:val="000000"/>
          <w:lang w:eastAsia="es-AR"/>
        </w:rPr>
        <w:t xml:space="preserve"> K, </w:t>
      </w:r>
      <w:proofErr w:type="spellStart"/>
      <w:r>
        <w:rPr>
          <w:rFonts w:asciiTheme="minorHAnsi" w:hAnsiTheme="minorHAnsi" w:cstheme="minorHAnsi"/>
          <w:color w:val="000000"/>
          <w:lang w:eastAsia="es-AR"/>
        </w:rPr>
        <w:t>Hurd</w:t>
      </w:r>
      <w:proofErr w:type="spellEnd"/>
      <w:r>
        <w:rPr>
          <w:rFonts w:asciiTheme="minorHAnsi" w:hAnsiTheme="minorHAnsi" w:cstheme="minorHAnsi"/>
          <w:color w:val="000000"/>
          <w:lang w:eastAsia="es-AR"/>
        </w:rPr>
        <w:t xml:space="preserve"> S, </w:t>
      </w:r>
      <w:proofErr w:type="spellStart"/>
      <w:r>
        <w:rPr>
          <w:rFonts w:asciiTheme="minorHAnsi" w:hAnsiTheme="minorHAnsi" w:cstheme="minorHAnsi"/>
          <w:color w:val="000000"/>
          <w:lang w:eastAsia="es-AR"/>
        </w:rPr>
        <w:t>Anzueto</w:t>
      </w:r>
      <w:proofErr w:type="spellEnd"/>
      <w:r>
        <w:rPr>
          <w:rFonts w:asciiTheme="minorHAnsi" w:hAnsiTheme="minorHAnsi" w:cstheme="minorHAnsi"/>
          <w:color w:val="000000"/>
          <w:lang w:eastAsia="es-AR"/>
        </w:rPr>
        <w:t xml:space="preserve"> A,</w:t>
      </w:r>
      <w:r w:rsidRPr="006D610B">
        <w:rPr>
          <w:rFonts w:asciiTheme="minorHAnsi" w:hAnsiTheme="minorHAnsi" w:cstheme="minorHAnsi"/>
          <w:color w:val="000000"/>
          <w:lang w:eastAsia="es-AR"/>
        </w:rPr>
        <w:t xml:space="preserve"> et al. Global strategy for the diagnosis, management, and prevention of chronic obstructive pulmonary disease: GOLD executive summary. Am J </w:t>
      </w:r>
      <w:proofErr w:type="spellStart"/>
      <w:r w:rsidRPr="006D610B">
        <w:rPr>
          <w:rFonts w:asciiTheme="minorHAnsi" w:hAnsiTheme="minorHAnsi" w:cstheme="minorHAnsi"/>
          <w:color w:val="000000"/>
          <w:lang w:eastAsia="es-AR"/>
        </w:rPr>
        <w:t>Respir</w:t>
      </w:r>
      <w:proofErr w:type="spellEnd"/>
      <w:r>
        <w:rPr>
          <w:rFonts w:asciiTheme="minorHAnsi" w:hAnsiTheme="minorHAnsi" w:cstheme="minorHAnsi"/>
          <w:color w:val="000000"/>
          <w:lang w:eastAsia="es-AR"/>
        </w:rPr>
        <w:t xml:space="preserve"> </w:t>
      </w:r>
      <w:proofErr w:type="spellStart"/>
      <w:r w:rsidRPr="006D610B">
        <w:rPr>
          <w:rFonts w:asciiTheme="minorHAnsi" w:hAnsiTheme="minorHAnsi" w:cstheme="minorHAnsi"/>
          <w:color w:val="000000"/>
          <w:lang w:eastAsia="es-AR"/>
        </w:rPr>
        <w:t>Crit</w:t>
      </w:r>
      <w:proofErr w:type="spellEnd"/>
      <w:r>
        <w:rPr>
          <w:rFonts w:asciiTheme="minorHAnsi" w:hAnsiTheme="minorHAnsi" w:cstheme="minorHAnsi"/>
          <w:color w:val="000000"/>
          <w:lang w:eastAsia="es-AR"/>
        </w:rPr>
        <w:t xml:space="preserve"> </w:t>
      </w:r>
      <w:proofErr w:type="spellStart"/>
      <w:r w:rsidRPr="006D610B">
        <w:rPr>
          <w:rFonts w:asciiTheme="minorHAnsi" w:hAnsiTheme="minorHAnsi" w:cstheme="minorHAnsi"/>
          <w:color w:val="000000"/>
          <w:lang w:eastAsia="es-AR"/>
        </w:rPr>
        <w:t>CareMed</w:t>
      </w:r>
      <w:proofErr w:type="spellEnd"/>
      <w:r w:rsidRPr="006D610B">
        <w:rPr>
          <w:rFonts w:asciiTheme="minorHAnsi" w:hAnsiTheme="minorHAnsi" w:cstheme="minorHAnsi"/>
          <w:color w:val="000000"/>
          <w:lang w:eastAsia="es-AR"/>
        </w:rPr>
        <w:t xml:space="preserve"> 2007; 176:532–</w:t>
      </w:r>
      <w:proofErr w:type="gramStart"/>
      <w:r w:rsidRPr="006D610B">
        <w:rPr>
          <w:rFonts w:asciiTheme="minorHAnsi" w:hAnsiTheme="minorHAnsi" w:cstheme="minorHAnsi"/>
          <w:color w:val="000000"/>
          <w:lang w:eastAsia="es-AR"/>
        </w:rPr>
        <w:t>555</w:t>
      </w:r>
      <w:proofErr w:type="gramEnd"/>
      <w:r w:rsidRPr="006D610B">
        <w:rPr>
          <w:rFonts w:asciiTheme="minorHAnsi" w:hAnsiTheme="minorHAnsi" w:cstheme="minorHAnsi"/>
          <w:color w:val="000000"/>
          <w:lang w:eastAsia="es-AR"/>
        </w:rPr>
        <w:t xml:space="preserve"> </w:t>
      </w:r>
    </w:p>
    <w:p w:rsidR="00CA0496"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proofErr w:type="gramStart"/>
      <w:r>
        <w:rPr>
          <w:rFonts w:asciiTheme="minorHAnsi" w:hAnsiTheme="minorHAnsi" w:cstheme="minorHAnsi"/>
          <w:color w:val="000000"/>
          <w:lang w:eastAsia="es-AR"/>
        </w:rPr>
        <w:t xml:space="preserve">Sin D, Leung R, </w:t>
      </w:r>
      <w:proofErr w:type="spellStart"/>
      <w:r>
        <w:rPr>
          <w:rFonts w:asciiTheme="minorHAnsi" w:hAnsiTheme="minorHAnsi" w:cstheme="minorHAnsi"/>
          <w:color w:val="000000"/>
          <w:lang w:eastAsia="es-AR"/>
        </w:rPr>
        <w:t>Gan</w:t>
      </w:r>
      <w:proofErr w:type="spellEnd"/>
      <w:r>
        <w:rPr>
          <w:rFonts w:asciiTheme="minorHAnsi" w:hAnsiTheme="minorHAnsi" w:cstheme="minorHAnsi"/>
          <w:color w:val="000000"/>
          <w:lang w:eastAsia="es-AR"/>
        </w:rPr>
        <w:t xml:space="preserve"> W,</w:t>
      </w:r>
      <w:r w:rsidRPr="006D610B">
        <w:rPr>
          <w:rFonts w:asciiTheme="minorHAnsi" w:hAnsiTheme="minorHAnsi" w:cstheme="minorHAnsi"/>
          <w:color w:val="000000"/>
          <w:lang w:eastAsia="es-AR"/>
        </w:rPr>
        <w:t xml:space="preserve"> </w:t>
      </w:r>
      <w:r>
        <w:rPr>
          <w:rFonts w:asciiTheme="minorHAnsi" w:hAnsiTheme="minorHAnsi" w:cstheme="minorHAnsi"/>
          <w:color w:val="000000"/>
          <w:lang w:eastAsia="es-AR"/>
        </w:rPr>
        <w:t>Barnes PJ,</w:t>
      </w:r>
      <w:r w:rsidRPr="006D610B">
        <w:rPr>
          <w:rFonts w:asciiTheme="minorHAnsi" w:hAnsiTheme="minorHAnsi" w:cstheme="minorHAnsi"/>
          <w:color w:val="000000"/>
          <w:lang w:eastAsia="es-AR"/>
        </w:rPr>
        <w:t xml:space="preserve"> Celli BR. Systemic manifestations and </w:t>
      </w:r>
      <w:proofErr w:type="spellStart"/>
      <w:r w:rsidRPr="006D610B">
        <w:rPr>
          <w:rFonts w:asciiTheme="minorHAnsi" w:hAnsiTheme="minorHAnsi" w:cstheme="minorHAnsi"/>
          <w:color w:val="000000"/>
          <w:lang w:eastAsia="es-AR"/>
        </w:rPr>
        <w:t>comorbidities</w:t>
      </w:r>
      <w:proofErr w:type="spellEnd"/>
      <w:r w:rsidRPr="006D610B">
        <w:rPr>
          <w:rFonts w:asciiTheme="minorHAnsi" w:hAnsiTheme="minorHAnsi" w:cstheme="minorHAnsi"/>
          <w:color w:val="000000"/>
          <w:lang w:eastAsia="es-AR"/>
        </w:rPr>
        <w:t xml:space="preserve"> of COPD.</w:t>
      </w:r>
      <w:proofErr w:type="gramEnd"/>
      <w:r w:rsidRPr="006D610B">
        <w:rPr>
          <w:rFonts w:asciiTheme="minorHAnsi" w:hAnsiTheme="minorHAnsi" w:cstheme="minorHAnsi"/>
          <w:color w:val="000000"/>
          <w:lang w:eastAsia="es-AR"/>
        </w:rPr>
        <w:t xml:space="preserve"> </w:t>
      </w:r>
      <w:proofErr w:type="spellStart"/>
      <w:r w:rsidRPr="006D610B">
        <w:rPr>
          <w:rFonts w:asciiTheme="minorHAnsi" w:hAnsiTheme="minorHAnsi" w:cstheme="minorHAnsi"/>
          <w:color w:val="000000"/>
          <w:lang w:eastAsia="es-AR"/>
        </w:rPr>
        <w:t>EurRespir</w:t>
      </w:r>
      <w:proofErr w:type="spellEnd"/>
      <w:r w:rsidRPr="006D610B">
        <w:rPr>
          <w:rFonts w:asciiTheme="minorHAnsi" w:hAnsiTheme="minorHAnsi" w:cstheme="minorHAnsi"/>
          <w:color w:val="000000"/>
          <w:lang w:eastAsia="es-AR"/>
        </w:rPr>
        <w:t xml:space="preserve"> J 2009;</w:t>
      </w:r>
      <w:r>
        <w:rPr>
          <w:rFonts w:asciiTheme="minorHAnsi" w:hAnsiTheme="minorHAnsi" w:cstheme="minorHAnsi"/>
          <w:color w:val="000000"/>
          <w:lang w:eastAsia="es-AR"/>
        </w:rPr>
        <w:t xml:space="preserve"> </w:t>
      </w:r>
      <w:r w:rsidRPr="006D610B">
        <w:rPr>
          <w:rFonts w:asciiTheme="minorHAnsi" w:hAnsiTheme="minorHAnsi" w:cstheme="minorHAnsi"/>
          <w:color w:val="000000"/>
          <w:lang w:eastAsia="es-AR"/>
        </w:rPr>
        <w:t>33:1165–1185</w:t>
      </w:r>
    </w:p>
    <w:p w:rsidR="00CA0496" w:rsidRPr="006D610B" w:rsidRDefault="00CA0496" w:rsidP="00CA0496">
      <w:pPr>
        <w:autoSpaceDE w:val="0"/>
        <w:autoSpaceDN w:val="0"/>
        <w:adjustRightInd w:val="0"/>
        <w:spacing w:after="0"/>
        <w:jc w:val="both"/>
        <w:rPr>
          <w:rFonts w:asciiTheme="minorHAnsi" w:hAnsiTheme="minorHAnsi" w:cstheme="minorHAnsi"/>
          <w:color w:val="000000"/>
          <w:lang w:eastAsia="es-AR"/>
        </w:rPr>
      </w:pPr>
    </w:p>
    <w:p w:rsidR="00CA0496" w:rsidRPr="006D610B" w:rsidRDefault="00CA0496" w:rsidP="00CA0496">
      <w:pPr>
        <w:spacing w:after="160"/>
        <w:jc w:val="both"/>
        <w:rPr>
          <w:rFonts w:asciiTheme="minorHAnsi" w:hAnsiTheme="minorHAnsi" w:cstheme="minorHAnsi"/>
        </w:rPr>
      </w:pPr>
      <w:proofErr w:type="gramStart"/>
      <w:r w:rsidRPr="006D610B">
        <w:rPr>
          <w:rFonts w:asciiTheme="minorHAnsi" w:hAnsiTheme="minorHAnsi" w:cstheme="minorHAnsi"/>
        </w:rPr>
        <w:t xml:space="preserve">Expert </w:t>
      </w:r>
      <w:r w:rsidR="00134436">
        <w:rPr>
          <w:rFonts w:asciiTheme="minorHAnsi" w:hAnsiTheme="minorHAnsi" w:cstheme="minorHAnsi"/>
        </w:rPr>
        <w:t xml:space="preserve"> </w:t>
      </w:r>
      <w:r w:rsidRPr="006D610B">
        <w:rPr>
          <w:rFonts w:asciiTheme="minorHAnsi" w:hAnsiTheme="minorHAnsi" w:cstheme="minorHAnsi"/>
        </w:rPr>
        <w:t>panel</w:t>
      </w:r>
      <w:proofErr w:type="gramEnd"/>
      <w:r w:rsidRPr="006D610B">
        <w:rPr>
          <w:rFonts w:asciiTheme="minorHAnsi" w:hAnsiTheme="minorHAnsi" w:cstheme="minorHAnsi"/>
        </w:rPr>
        <w:t xml:space="preserve"> on Detection, Evaluation, and treatment of high blood cholesterol in adults. Executive summary of the Third report of the National Cholesterol Education Program (NCEP) Expert Panel on Detection, Evaluation, and Treatment Of High Blood Cholesterol in Adults (Adult Treatment Panel III) JAMA 2001; 285: 2486-2497.</w:t>
      </w:r>
    </w:p>
    <w:p w:rsidR="00CA0496" w:rsidRPr="006D610B" w:rsidRDefault="00CA0496" w:rsidP="00CA0496">
      <w:pPr>
        <w:spacing w:after="160"/>
        <w:jc w:val="both"/>
        <w:rPr>
          <w:rFonts w:asciiTheme="minorHAnsi" w:hAnsiTheme="minorHAnsi" w:cstheme="minorHAnsi"/>
        </w:rPr>
      </w:pPr>
      <w:r w:rsidRPr="006D610B">
        <w:rPr>
          <w:rFonts w:asciiTheme="minorHAnsi" w:hAnsiTheme="minorHAnsi" w:cstheme="minorHAnsi"/>
        </w:rPr>
        <w:t xml:space="preserve">Grundy SM, </w:t>
      </w:r>
      <w:proofErr w:type="spellStart"/>
      <w:r w:rsidRPr="006D610B">
        <w:rPr>
          <w:rFonts w:asciiTheme="minorHAnsi" w:hAnsiTheme="minorHAnsi" w:cstheme="minorHAnsi"/>
        </w:rPr>
        <w:t>Cleeman</w:t>
      </w:r>
      <w:proofErr w:type="spellEnd"/>
      <w:r w:rsidRPr="006D610B">
        <w:rPr>
          <w:rFonts w:asciiTheme="minorHAnsi" w:hAnsiTheme="minorHAnsi" w:cstheme="minorHAnsi"/>
        </w:rPr>
        <w:t xml:space="preserve"> JI, Daniels SR, </w:t>
      </w:r>
      <w:proofErr w:type="spellStart"/>
      <w:r w:rsidRPr="006D610B">
        <w:rPr>
          <w:rFonts w:asciiTheme="minorHAnsi" w:hAnsiTheme="minorHAnsi" w:cstheme="minorHAnsi"/>
        </w:rPr>
        <w:t>Donato</w:t>
      </w:r>
      <w:proofErr w:type="spellEnd"/>
      <w:r w:rsidRPr="006D610B">
        <w:rPr>
          <w:rFonts w:asciiTheme="minorHAnsi" w:hAnsiTheme="minorHAnsi" w:cstheme="minorHAnsi"/>
        </w:rPr>
        <w:t xml:space="preserve"> KA, </w:t>
      </w:r>
      <w:proofErr w:type="spellStart"/>
      <w:r w:rsidRPr="006D610B">
        <w:rPr>
          <w:rFonts w:asciiTheme="minorHAnsi" w:hAnsiTheme="minorHAnsi" w:cstheme="minorHAnsi"/>
        </w:rPr>
        <w:t>Eckel</w:t>
      </w:r>
      <w:proofErr w:type="spellEnd"/>
      <w:r w:rsidRPr="006D610B">
        <w:rPr>
          <w:rFonts w:asciiTheme="minorHAnsi" w:hAnsiTheme="minorHAnsi" w:cstheme="minorHAnsi"/>
        </w:rPr>
        <w:t xml:space="preserve"> RH, Franklin BA, Gordon DJ, Krauss RM, Savage </w:t>
      </w:r>
      <w:proofErr w:type="spellStart"/>
      <w:r w:rsidRPr="006D610B">
        <w:rPr>
          <w:rFonts w:asciiTheme="minorHAnsi" w:hAnsiTheme="minorHAnsi" w:cstheme="minorHAnsi"/>
        </w:rPr>
        <w:t>PJ,Smith</w:t>
      </w:r>
      <w:proofErr w:type="spellEnd"/>
      <w:r w:rsidRPr="006D610B">
        <w:rPr>
          <w:rFonts w:asciiTheme="minorHAnsi" w:hAnsiTheme="minorHAnsi" w:cstheme="minorHAnsi"/>
        </w:rPr>
        <w:t xml:space="preserve"> SC Jr., </w:t>
      </w:r>
      <w:proofErr w:type="spellStart"/>
      <w:r w:rsidRPr="006D610B">
        <w:rPr>
          <w:rFonts w:asciiTheme="minorHAnsi" w:hAnsiTheme="minorHAnsi" w:cstheme="minorHAnsi"/>
        </w:rPr>
        <w:t>Spertus</w:t>
      </w:r>
      <w:proofErr w:type="spellEnd"/>
      <w:r w:rsidRPr="006D610B">
        <w:rPr>
          <w:rFonts w:asciiTheme="minorHAnsi" w:hAnsiTheme="minorHAnsi" w:cstheme="minorHAnsi"/>
        </w:rPr>
        <w:t xml:space="preserve"> JA, Costa F; American Heart Association; National Heart Lung and Blood Institute. </w:t>
      </w:r>
      <w:proofErr w:type="gramStart"/>
      <w:r w:rsidRPr="006D610B">
        <w:rPr>
          <w:rFonts w:asciiTheme="minorHAnsi" w:hAnsiTheme="minorHAnsi" w:cstheme="minorHAnsi"/>
        </w:rPr>
        <w:t>Diagnosis and management of the Metabolic Syndrome.</w:t>
      </w:r>
      <w:proofErr w:type="gramEnd"/>
      <w:r w:rsidRPr="006D610B">
        <w:rPr>
          <w:rFonts w:asciiTheme="minorHAnsi" w:hAnsiTheme="minorHAnsi" w:cstheme="minorHAnsi"/>
        </w:rPr>
        <w:t xml:space="preserve"> </w:t>
      </w:r>
      <w:proofErr w:type="gramStart"/>
      <w:r w:rsidRPr="006D610B">
        <w:rPr>
          <w:rFonts w:asciiTheme="minorHAnsi" w:hAnsiTheme="minorHAnsi" w:cstheme="minorHAnsi"/>
        </w:rPr>
        <w:t>An American Heart Association/National Heart, Lung and Blood Institute Scientific Statement.</w:t>
      </w:r>
      <w:proofErr w:type="gramEnd"/>
      <w:r w:rsidRPr="006D610B">
        <w:rPr>
          <w:rFonts w:asciiTheme="minorHAnsi" w:hAnsiTheme="minorHAnsi" w:cstheme="minorHAnsi"/>
        </w:rPr>
        <w:t xml:space="preserve"> Circulation 2005</w:t>
      </w:r>
      <w:proofErr w:type="gramStart"/>
      <w:r w:rsidRPr="006D610B">
        <w:rPr>
          <w:rFonts w:asciiTheme="minorHAnsi" w:hAnsiTheme="minorHAnsi" w:cstheme="minorHAnsi"/>
        </w:rPr>
        <w:t>;112</w:t>
      </w:r>
      <w:proofErr w:type="gramEnd"/>
      <w:r w:rsidRPr="006D610B">
        <w:rPr>
          <w:rFonts w:asciiTheme="minorHAnsi" w:hAnsiTheme="minorHAnsi" w:cstheme="minorHAnsi"/>
        </w:rPr>
        <w:t>: 2735-52.</w:t>
      </w:r>
    </w:p>
    <w:p w:rsidR="00CA0496" w:rsidRPr="006D610B" w:rsidRDefault="00CA0496" w:rsidP="00CA0496">
      <w:pPr>
        <w:spacing w:after="160"/>
        <w:jc w:val="both"/>
        <w:rPr>
          <w:rFonts w:asciiTheme="minorHAnsi" w:hAnsiTheme="minorHAnsi" w:cstheme="minorHAnsi"/>
        </w:rPr>
      </w:pPr>
      <w:proofErr w:type="spellStart"/>
      <w:r w:rsidRPr="006D610B">
        <w:rPr>
          <w:rFonts w:asciiTheme="minorHAnsi" w:hAnsiTheme="minorHAnsi" w:cstheme="minorHAnsi"/>
        </w:rPr>
        <w:t>Alberti</w:t>
      </w:r>
      <w:proofErr w:type="spellEnd"/>
      <w:r w:rsidRPr="006D610B">
        <w:rPr>
          <w:rFonts w:asciiTheme="minorHAnsi" w:hAnsiTheme="minorHAnsi" w:cstheme="minorHAnsi"/>
        </w:rPr>
        <w:t xml:space="preserve"> KG, </w:t>
      </w:r>
      <w:proofErr w:type="spellStart"/>
      <w:r w:rsidRPr="006D610B">
        <w:rPr>
          <w:rFonts w:asciiTheme="minorHAnsi" w:hAnsiTheme="minorHAnsi" w:cstheme="minorHAnsi"/>
        </w:rPr>
        <w:t>Zimmet</w:t>
      </w:r>
      <w:proofErr w:type="spellEnd"/>
      <w:r w:rsidRPr="006D610B">
        <w:rPr>
          <w:rFonts w:asciiTheme="minorHAnsi" w:hAnsiTheme="minorHAnsi" w:cstheme="minorHAnsi"/>
        </w:rPr>
        <w:t xml:space="preserve"> P, Shaw J. IDF Epidemiology Task Force Consensus Group. </w:t>
      </w:r>
      <w:proofErr w:type="gramStart"/>
      <w:r w:rsidRPr="006D610B">
        <w:rPr>
          <w:rFonts w:asciiTheme="minorHAnsi" w:hAnsiTheme="minorHAnsi" w:cstheme="minorHAnsi"/>
        </w:rPr>
        <w:t>The Metabolic Syndrome-new</w:t>
      </w:r>
      <w:r>
        <w:rPr>
          <w:rFonts w:asciiTheme="minorHAnsi" w:hAnsiTheme="minorHAnsi" w:cstheme="minorHAnsi"/>
        </w:rPr>
        <w:t xml:space="preserve"> </w:t>
      </w:r>
      <w:proofErr w:type="spellStart"/>
      <w:r w:rsidRPr="006D610B">
        <w:rPr>
          <w:rFonts w:asciiTheme="minorHAnsi" w:hAnsiTheme="minorHAnsi" w:cstheme="minorHAnsi"/>
        </w:rPr>
        <w:t>wordl</w:t>
      </w:r>
      <w:proofErr w:type="spellEnd"/>
      <w:r>
        <w:rPr>
          <w:rFonts w:asciiTheme="minorHAnsi" w:hAnsiTheme="minorHAnsi" w:cstheme="minorHAnsi"/>
        </w:rPr>
        <w:t xml:space="preserve"> </w:t>
      </w:r>
      <w:r w:rsidRPr="006D610B">
        <w:rPr>
          <w:rFonts w:asciiTheme="minorHAnsi" w:hAnsiTheme="minorHAnsi" w:cstheme="minorHAnsi"/>
        </w:rPr>
        <w:t>wide definition.</w:t>
      </w:r>
      <w:proofErr w:type="gramEnd"/>
      <w:r w:rsidRPr="006D610B">
        <w:rPr>
          <w:rFonts w:asciiTheme="minorHAnsi" w:hAnsiTheme="minorHAnsi" w:cstheme="minorHAnsi"/>
        </w:rPr>
        <w:t xml:space="preserve"> Lancet 2005</w:t>
      </w:r>
      <w:proofErr w:type="gramStart"/>
      <w:r w:rsidRPr="006D610B">
        <w:rPr>
          <w:rFonts w:asciiTheme="minorHAnsi" w:hAnsiTheme="minorHAnsi" w:cstheme="minorHAnsi"/>
        </w:rPr>
        <w:t>;366:1059</w:t>
      </w:r>
      <w:proofErr w:type="gramEnd"/>
      <w:r w:rsidRPr="006D610B">
        <w:rPr>
          <w:rFonts w:asciiTheme="minorHAnsi" w:hAnsiTheme="minorHAnsi" w:cstheme="minorHAnsi"/>
        </w:rPr>
        <w:t>-62</w:t>
      </w:r>
    </w:p>
    <w:p w:rsidR="00CA0496" w:rsidRPr="006D610B" w:rsidRDefault="00CA0496" w:rsidP="00CA0496">
      <w:pPr>
        <w:spacing w:after="160"/>
        <w:jc w:val="both"/>
        <w:rPr>
          <w:rFonts w:asciiTheme="minorHAnsi" w:hAnsiTheme="minorHAnsi" w:cstheme="minorHAnsi"/>
        </w:rPr>
      </w:pPr>
      <w:proofErr w:type="spellStart"/>
      <w:r w:rsidRPr="006D610B">
        <w:rPr>
          <w:rFonts w:asciiTheme="minorHAnsi" w:hAnsiTheme="minorHAnsi" w:cstheme="minorHAnsi"/>
        </w:rPr>
        <w:lastRenderedPageBreak/>
        <w:t>Alberti</w:t>
      </w:r>
      <w:proofErr w:type="spellEnd"/>
      <w:r w:rsidRPr="006D610B">
        <w:rPr>
          <w:rFonts w:asciiTheme="minorHAnsi" w:hAnsiTheme="minorHAnsi" w:cstheme="minorHAnsi"/>
        </w:rPr>
        <w:t xml:space="preserve"> KG, </w:t>
      </w:r>
      <w:proofErr w:type="spellStart"/>
      <w:r w:rsidRPr="006D610B">
        <w:rPr>
          <w:rFonts w:asciiTheme="minorHAnsi" w:hAnsiTheme="minorHAnsi" w:cstheme="minorHAnsi"/>
        </w:rPr>
        <w:t>Zimmet</w:t>
      </w:r>
      <w:proofErr w:type="spellEnd"/>
      <w:r w:rsidRPr="006D610B">
        <w:rPr>
          <w:rFonts w:asciiTheme="minorHAnsi" w:hAnsiTheme="minorHAnsi" w:cstheme="minorHAnsi"/>
        </w:rPr>
        <w:t xml:space="preserve"> P, Shaw J. Metabolic Syndrome new world-wide definition. </w:t>
      </w:r>
      <w:proofErr w:type="gramStart"/>
      <w:r w:rsidRPr="006D610B">
        <w:rPr>
          <w:rFonts w:asciiTheme="minorHAnsi" w:hAnsiTheme="minorHAnsi" w:cstheme="minorHAnsi"/>
        </w:rPr>
        <w:t>A Consensus Statement from the International Diabetes Federation.</w:t>
      </w:r>
      <w:proofErr w:type="gramEnd"/>
      <w:r w:rsidRPr="006D610B">
        <w:rPr>
          <w:rFonts w:asciiTheme="minorHAnsi" w:hAnsiTheme="minorHAnsi" w:cstheme="minorHAnsi"/>
        </w:rPr>
        <w:t xml:space="preserve"> </w:t>
      </w:r>
      <w:proofErr w:type="spellStart"/>
      <w:r w:rsidRPr="006D610B">
        <w:rPr>
          <w:rFonts w:asciiTheme="minorHAnsi" w:hAnsiTheme="minorHAnsi" w:cstheme="minorHAnsi"/>
        </w:rPr>
        <w:t>Diabet</w:t>
      </w:r>
      <w:proofErr w:type="spellEnd"/>
      <w:r w:rsidRPr="006D610B">
        <w:rPr>
          <w:rFonts w:asciiTheme="minorHAnsi" w:hAnsiTheme="minorHAnsi" w:cstheme="minorHAnsi"/>
        </w:rPr>
        <w:t xml:space="preserve"> Med 2006 May</w:t>
      </w:r>
      <w:proofErr w:type="gramStart"/>
      <w:r w:rsidRPr="006D610B">
        <w:rPr>
          <w:rFonts w:asciiTheme="minorHAnsi" w:hAnsiTheme="minorHAnsi" w:cstheme="minorHAnsi"/>
        </w:rPr>
        <w:t>;23</w:t>
      </w:r>
      <w:proofErr w:type="gramEnd"/>
      <w:r w:rsidRPr="006D610B">
        <w:rPr>
          <w:rFonts w:asciiTheme="minorHAnsi" w:hAnsiTheme="minorHAnsi" w:cstheme="minorHAnsi"/>
        </w:rPr>
        <w:t>(5):469-80</w:t>
      </w:r>
    </w:p>
    <w:p w:rsidR="00CA0496" w:rsidRPr="006D610B" w:rsidRDefault="00CA0496" w:rsidP="00CA0496">
      <w:pPr>
        <w:spacing w:after="160"/>
        <w:jc w:val="both"/>
        <w:rPr>
          <w:rFonts w:asciiTheme="minorHAnsi" w:hAnsiTheme="minorHAnsi" w:cstheme="minorHAnsi"/>
          <w:lang w:val="es-AR"/>
        </w:rPr>
      </w:pPr>
      <w:proofErr w:type="gramStart"/>
      <w:r w:rsidRPr="006D610B">
        <w:rPr>
          <w:rFonts w:asciiTheme="minorHAnsi" w:hAnsiTheme="minorHAnsi" w:cstheme="minorHAnsi"/>
        </w:rPr>
        <w:t>The IDF consensus worldwide definition of the metabolic syndrome.</w:t>
      </w:r>
      <w:proofErr w:type="gramEnd"/>
      <w:r w:rsidRPr="006D610B">
        <w:rPr>
          <w:rFonts w:asciiTheme="minorHAnsi" w:hAnsiTheme="minorHAnsi" w:cstheme="minorHAnsi"/>
        </w:rPr>
        <w:t xml:space="preserve"> </w:t>
      </w:r>
      <w:r w:rsidRPr="006D610B">
        <w:rPr>
          <w:rFonts w:asciiTheme="minorHAnsi" w:hAnsiTheme="minorHAnsi" w:cstheme="minorHAnsi"/>
          <w:lang w:val="es-AR"/>
        </w:rPr>
        <w:t>International Diabetes Federation</w:t>
      </w:r>
      <w:proofErr w:type="gramStart"/>
      <w:r w:rsidRPr="006D610B">
        <w:rPr>
          <w:rFonts w:asciiTheme="minorHAnsi" w:hAnsiTheme="minorHAnsi" w:cstheme="minorHAnsi"/>
          <w:lang w:val="es-AR"/>
        </w:rPr>
        <w:t>,2005</w:t>
      </w:r>
      <w:proofErr w:type="gramEnd"/>
      <w:r w:rsidRPr="006D610B">
        <w:rPr>
          <w:rFonts w:asciiTheme="minorHAnsi" w:hAnsiTheme="minorHAnsi" w:cstheme="minorHAnsi"/>
          <w:lang w:val="es-AR"/>
        </w:rPr>
        <w:t xml:space="preserve">. </w:t>
      </w:r>
      <w:proofErr w:type="gramStart"/>
      <w:r w:rsidRPr="006D610B">
        <w:rPr>
          <w:rFonts w:asciiTheme="minorHAnsi" w:hAnsiTheme="minorHAnsi" w:cstheme="minorHAnsi"/>
          <w:lang w:val="es-AR"/>
        </w:rPr>
        <w:t>disponible</w:t>
      </w:r>
      <w:proofErr w:type="gramEnd"/>
      <w:r w:rsidRPr="006D610B">
        <w:rPr>
          <w:rFonts w:asciiTheme="minorHAnsi" w:hAnsiTheme="minorHAnsi" w:cstheme="minorHAnsi"/>
          <w:lang w:val="es-AR"/>
        </w:rPr>
        <w:t xml:space="preserve"> en: </w:t>
      </w:r>
      <w:hyperlink r:id="rId13" w:history="1">
        <w:r w:rsidRPr="006D610B">
          <w:rPr>
            <w:rStyle w:val="Hipervnculo"/>
            <w:rFonts w:asciiTheme="minorHAnsi" w:hAnsiTheme="minorHAnsi" w:cstheme="minorHAnsi"/>
            <w:lang w:val="es-AR"/>
          </w:rPr>
          <w:t>www.idf.org/webdata/docs/IDF_Metasyndrome_definition.pdf</w:t>
        </w:r>
      </w:hyperlink>
    </w:p>
    <w:p w:rsidR="00CA0496" w:rsidRPr="006D610B" w:rsidRDefault="00CA0496" w:rsidP="00CA0496">
      <w:pPr>
        <w:spacing w:after="160"/>
        <w:jc w:val="both"/>
        <w:rPr>
          <w:rFonts w:asciiTheme="minorHAnsi" w:hAnsiTheme="minorHAnsi" w:cstheme="minorHAnsi"/>
          <w:lang w:val="es-AR"/>
        </w:rPr>
      </w:pPr>
      <w:proofErr w:type="spellStart"/>
      <w:r w:rsidRPr="006D610B">
        <w:rPr>
          <w:rFonts w:asciiTheme="minorHAnsi" w:hAnsiTheme="minorHAnsi" w:cstheme="minorHAnsi"/>
          <w:lang w:val="es-AR"/>
        </w:rPr>
        <w:t>Isomaa</w:t>
      </w:r>
      <w:proofErr w:type="spellEnd"/>
      <w:r w:rsidRPr="006D610B">
        <w:rPr>
          <w:rFonts w:asciiTheme="minorHAnsi" w:hAnsiTheme="minorHAnsi" w:cstheme="minorHAnsi"/>
          <w:lang w:val="es-AR"/>
        </w:rPr>
        <w:t xml:space="preserve"> B, </w:t>
      </w:r>
      <w:proofErr w:type="spellStart"/>
      <w:r w:rsidRPr="006D610B">
        <w:rPr>
          <w:rFonts w:asciiTheme="minorHAnsi" w:hAnsiTheme="minorHAnsi" w:cstheme="minorHAnsi"/>
          <w:lang w:val="es-AR"/>
        </w:rPr>
        <w:t>Almgren</w:t>
      </w:r>
      <w:proofErr w:type="spellEnd"/>
      <w:r w:rsidRPr="006D610B">
        <w:rPr>
          <w:rFonts w:asciiTheme="minorHAnsi" w:hAnsiTheme="minorHAnsi" w:cstheme="minorHAnsi"/>
          <w:lang w:val="es-AR"/>
        </w:rPr>
        <w:t xml:space="preserve"> P, </w:t>
      </w:r>
      <w:proofErr w:type="spellStart"/>
      <w:r w:rsidRPr="006D610B">
        <w:rPr>
          <w:rFonts w:asciiTheme="minorHAnsi" w:hAnsiTheme="minorHAnsi" w:cstheme="minorHAnsi"/>
          <w:lang w:val="es-AR"/>
        </w:rPr>
        <w:t>Tuomi</w:t>
      </w:r>
      <w:proofErr w:type="spellEnd"/>
      <w:r w:rsidRPr="006D610B">
        <w:rPr>
          <w:rFonts w:asciiTheme="minorHAnsi" w:hAnsiTheme="minorHAnsi" w:cstheme="minorHAnsi"/>
          <w:lang w:val="es-AR"/>
        </w:rPr>
        <w:t xml:space="preserve"> T, et al. </w:t>
      </w:r>
      <w:r w:rsidRPr="006D610B">
        <w:rPr>
          <w:rFonts w:asciiTheme="minorHAnsi" w:hAnsiTheme="minorHAnsi" w:cstheme="minorHAnsi"/>
        </w:rPr>
        <w:t xml:space="preserve">Cardiovascular morbidity and mortality </w:t>
      </w:r>
      <w:proofErr w:type="spellStart"/>
      <w:r w:rsidRPr="006D610B">
        <w:rPr>
          <w:rFonts w:asciiTheme="minorHAnsi" w:hAnsiTheme="minorHAnsi" w:cstheme="minorHAnsi"/>
        </w:rPr>
        <w:t>asociated</w:t>
      </w:r>
      <w:proofErr w:type="spellEnd"/>
      <w:r w:rsidRPr="006D610B">
        <w:rPr>
          <w:rFonts w:asciiTheme="minorHAnsi" w:hAnsiTheme="minorHAnsi" w:cstheme="minorHAnsi"/>
        </w:rPr>
        <w:t xml:space="preserve"> with the </w:t>
      </w:r>
      <w:proofErr w:type="gramStart"/>
      <w:r w:rsidRPr="006D610B">
        <w:rPr>
          <w:rFonts w:asciiTheme="minorHAnsi" w:hAnsiTheme="minorHAnsi" w:cstheme="minorHAnsi"/>
        </w:rPr>
        <w:t>Metabolic</w:t>
      </w:r>
      <w:proofErr w:type="gramEnd"/>
      <w:r w:rsidRPr="006D610B">
        <w:rPr>
          <w:rFonts w:asciiTheme="minorHAnsi" w:hAnsiTheme="minorHAnsi" w:cstheme="minorHAnsi"/>
        </w:rPr>
        <w:t xml:space="preserve"> syndrome. </w:t>
      </w:r>
      <w:r w:rsidRPr="006D610B">
        <w:rPr>
          <w:rFonts w:asciiTheme="minorHAnsi" w:hAnsiTheme="minorHAnsi" w:cstheme="minorHAnsi"/>
          <w:lang w:val="es-AR"/>
        </w:rPr>
        <w:t xml:space="preserve">Diabetes </w:t>
      </w:r>
      <w:proofErr w:type="spellStart"/>
      <w:r w:rsidRPr="006D610B">
        <w:rPr>
          <w:rFonts w:asciiTheme="minorHAnsi" w:hAnsiTheme="minorHAnsi" w:cstheme="minorHAnsi"/>
          <w:lang w:val="es-AR"/>
        </w:rPr>
        <w:t>Care</w:t>
      </w:r>
      <w:proofErr w:type="spellEnd"/>
      <w:r w:rsidRPr="006D610B">
        <w:rPr>
          <w:rFonts w:asciiTheme="minorHAnsi" w:hAnsiTheme="minorHAnsi" w:cstheme="minorHAnsi"/>
          <w:lang w:val="es-AR"/>
        </w:rPr>
        <w:t xml:space="preserve"> 2001; 24: 683-9.</w:t>
      </w:r>
    </w:p>
    <w:p w:rsidR="00CA0496" w:rsidRPr="006D610B" w:rsidRDefault="00CA0496" w:rsidP="00CA0496">
      <w:pPr>
        <w:spacing w:after="160"/>
        <w:jc w:val="both"/>
        <w:rPr>
          <w:rFonts w:asciiTheme="minorHAnsi" w:hAnsiTheme="minorHAnsi" w:cstheme="minorHAnsi"/>
          <w:lang w:val="es-AR"/>
        </w:rPr>
      </w:pPr>
      <w:proofErr w:type="spellStart"/>
      <w:r w:rsidRPr="006D610B">
        <w:rPr>
          <w:rFonts w:asciiTheme="minorHAnsi" w:hAnsiTheme="minorHAnsi" w:cstheme="minorHAnsi"/>
          <w:lang w:val="es-AR"/>
        </w:rPr>
        <w:t>Luquez</w:t>
      </w:r>
      <w:proofErr w:type="spellEnd"/>
      <w:r w:rsidRPr="006D610B">
        <w:rPr>
          <w:rFonts w:asciiTheme="minorHAnsi" w:hAnsiTheme="minorHAnsi" w:cstheme="minorHAnsi"/>
          <w:lang w:val="es-AR"/>
        </w:rPr>
        <w:t xml:space="preserve"> HA, De Loredo L, </w:t>
      </w:r>
      <w:proofErr w:type="spellStart"/>
      <w:r w:rsidRPr="006D610B">
        <w:rPr>
          <w:rFonts w:asciiTheme="minorHAnsi" w:hAnsiTheme="minorHAnsi" w:cstheme="minorHAnsi"/>
          <w:lang w:val="es-AR"/>
        </w:rPr>
        <w:t>Madoery</w:t>
      </w:r>
      <w:proofErr w:type="spellEnd"/>
      <w:r w:rsidRPr="006D610B">
        <w:rPr>
          <w:rFonts w:asciiTheme="minorHAnsi" w:hAnsiTheme="minorHAnsi" w:cstheme="minorHAnsi"/>
          <w:lang w:val="es-AR"/>
        </w:rPr>
        <w:t xml:space="preserve"> RJ, </w:t>
      </w:r>
      <w:proofErr w:type="spellStart"/>
      <w:r w:rsidRPr="006D610B">
        <w:rPr>
          <w:rFonts w:asciiTheme="minorHAnsi" w:hAnsiTheme="minorHAnsi" w:cstheme="minorHAnsi"/>
          <w:lang w:val="es-AR"/>
        </w:rPr>
        <w:t>Luquez</w:t>
      </w:r>
      <w:proofErr w:type="spellEnd"/>
      <w:r w:rsidRPr="006D610B">
        <w:rPr>
          <w:rFonts w:asciiTheme="minorHAnsi" w:hAnsiTheme="minorHAnsi" w:cstheme="minorHAnsi"/>
          <w:lang w:val="es-AR"/>
        </w:rPr>
        <w:t xml:space="preserve"> H (h), </w:t>
      </w:r>
      <w:proofErr w:type="spellStart"/>
      <w:r w:rsidRPr="006D610B">
        <w:rPr>
          <w:rFonts w:asciiTheme="minorHAnsi" w:hAnsiTheme="minorHAnsi" w:cstheme="minorHAnsi"/>
          <w:lang w:val="es-AR"/>
        </w:rPr>
        <w:t>Senestrari</w:t>
      </w:r>
      <w:proofErr w:type="spellEnd"/>
      <w:r w:rsidRPr="006D610B">
        <w:rPr>
          <w:rFonts w:asciiTheme="minorHAnsi" w:hAnsiTheme="minorHAnsi" w:cstheme="minorHAnsi"/>
          <w:lang w:val="es-AR"/>
        </w:rPr>
        <w:t xml:space="preserve"> D. Síndrome</w:t>
      </w:r>
      <w:r>
        <w:rPr>
          <w:rFonts w:asciiTheme="minorHAnsi" w:hAnsiTheme="minorHAnsi" w:cstheme="minorHAnsi"/>
          <w:lang w:val="es-AR"/>
        </w:rPr>
        <w:t xml:space="preserve"> </w:t>
      </w:r>
      <w:r w:rsidRPr="006D610B">
        <w:rPr>
          <w:rFonts w:asciiTheme="minorHAnsi" w:hAnsiTheme="minorHAnsi" w:cstheme="minorHAnsi"/>
          <w:lang w:val="es-AR"/>
        </w:rPr>
        <w:t>metabólico: prevalencia</w:t>
      </w:r>
      <w:r>
        <w:rPr>
          <w:rFonts w:asciiTheme="minorHAnsi" w:hAnsiTheme="minorHAnsi" w:cstheme="minorHAnsi"/>
          <w:lang w:val="es-AR"/>
        </w:rPr>
        <w:t xml:space="preserve"> </w:t>
      </w:r>
      <w:r w:rsidRPr="006D610B">
        <w:rPr>
          <w:rFonts w:asciiTheme="minorHAnsi" w:hAnsiTheme="minorHAnsi" w:cstheme="minorHAnsi"/>
          <w:lang w:val="es-AR"/>
        </w:rPr>
        <w:t xml:space="preserve">en dos comunidades de Córdoba, Argentina, de acuerdo con definiciones ATP III y OMS. </w:t>
      </w:r>
      <w:proofErr w:type="spellStart"/>
      <w:r w:rsidRPr="006D610B">
        <w:rPr>
          <w:rFonts w:asciiTheme="minorHAnsi" w:hAnsiTheme="minorHAnsi" w:cstheme="minorHAnsi"/>
          <w:lang w:val="es-AR"/>
        </w:rPr>
        <w:t>Rev</w:t>
      </w:r>
      <w:proofErr w:type="spellEnd"/>
      <w:r w:rsidRPr="006D610B">
        <w:rPr>
          <w:rFonts w:asciiTheme="minorHAnsi" w:hAnsiTheme="minorHAnsi" w:cstheme="minorHAnsi"/>
          <w:lang w:val="es-AR"/>
        </w:rPr>
        <w:t xml:space="preserve"> </w:t>
      </w:r>
      <w:proofErr w:type="spellStart"/>
      <w:r w:rsidRPr="006D610B">
        <w:rPr>
          <w:rFonts w:asciiTheme="minorHAnsi" w:hAnsiTheme="minorHAnsi" w:cstheme="minorHAnsi"/>
          <w:lang w:val="es-AR"/>
        </w:rPr>
        <w:t>Fed</w:t>
      </w:r>
      <w:proofErr w:type="spellEnd"/>
      <w:r w:rsidRPr="006D610B">
        <w:rPr>
          <w:rFonts w:asciiTheme="minorHAnsi" w:hAnsiTheme="minorHAnsi" w:cstheme="minorHAnsi"/>
          <w:lang w:val="es-AR"/>
        </w:rPr>
        <w:t xml:space="preserve"> </w:t>
      </w:r>
      <w:proofErr w:type="spellStart"/>
      <w:r w:rsidRPr="006D610B">
        <w:rPr>
          <w:rFonts w:asciiTheme="minorHAnsi" w:hAnsiTheme="minorHAnsi" w:cstheme="minorHAnsi"/>
          <w:lang w:val="es-AR"/>
        </w:rPr>
        <w:t>ArgCardiol</w:t>
      </w:r>
      <w:proofErr w:type="spellEnd"/>
      <w:r w:rsidRPr="006D610B">
        <w:rPr>
          <w:rFonts w:asciiTheme="minorHAnsi" w:hAnsiTheme="minorHAnsi" w:cstheme="minorHAnsi"/>
          <w:lang w:val="es-AR"/>
        </w:rPr>
        <w:t xml:space="preserve"> 2005; 34: 80-95.</w:t>
      </w:r>
    </w:p>
    <w:p w:rsidR="00CA0496" w:rsidRPr="006D610B" w:rsidRDefault="00CA0496" w:rsidP="00CA0496">
      <w:pPr>
        <w:spacing w:after="160"/>
        <w:jc w:val="both"/>
        <w:rPr>
          <w:rFonts w:asciiTheme="minorHAnsi" w:hAnsiTheme="minorHAnsi" w:cstheme="minorHAnsi"/>
          <w:lang w:val="es-AR"/>
        </w:rPr>
      </w:pPr>
      <w:r w:rsidRPr="006D610B">
        <w:rPr>
          <w:rFonts w:asciiTheme="minorHAnsi" w:hAnsiTheme="minorHAnsi" w:cstheme="minorHAnsi"/>
          <w:lang w:val="es-AR"/>
        </w:rPr>
        <w:t xml:space="preserve">López </w:t>
      </w:r>
      <w:proofErr w:type="spellStart"/>
      <w:r w:rsidRPr="006D610B">
        <w:rPr>
          <w:rFonts w:asciiTheme="minorHAnsi" w:hAnsiTheme="minorHAnsi" w:cstheme="minorHAnsi"/>
          <w:lang w:val="es-AR"/>
        </w:rPr>
        <w:t>Jové</w:t>
      </w:r>
      <w:proofErr w:type="spellEnd"/>
      <w:r w:rsidRPr="006D610B">
        <w:rPr>
          <w:rFonts w:asciiTheme="minorHAnsi" w:hAnsiTheme="minorHAnsi" w:cstheme="minorHAnsi"/>
          <w:lang w:val="es-AR"/>
        </w:rPr>
        <w:t xml:space="preserve"> Orlando, López González Eva, Rey Silvia, </w:t>
      </w:r>
      <w:proofErr w:type="spellStart"/>
      <w:r w:rsidRPr="006D610B">
        <w:rPr>
          <w:rFonts w:asciiTheme="minorHAnsi" w:hAnsiTheme="minorHAnsi" w:cstheme="minorHAnsi"/>
          <w:lang w:val="es-AR"/>
        </w:rPr>
        <w:t>Giugno</w:t>
      </w:r>
      <w:proofErr w:type="spellEnd"/>
      <w:r w:rsidRPr="006D610B">
        <w:rPr>
          <w:rFonts w:asciiTheme="minorHAnsi" w:hAnsiTheme="minorHAnsi" w:cstheme="minorHAnsi"/>
          <w:lang w:val="es-AR"/>
        </w:rPr>
        <w:t xml:space="preserve"> Eduardo, et al. </w:t>
      </w:r>
      <w:proofErr w:type="spellStart"/>
      <w:r w:rsidRPr="006D610B">
        <w:rPr>
          <w:rFonts w:asciiTheme="minorHAnsi" w:hAnsiTheme="minorHAnsi" w:cstheme="minorHAnsi"/>
          <w:lang w:val="es-AR"/>
        </w:rPr>
        <w:t>SíndromeMetabólico</w:t>
      </w:r>
      <w:proofErr w:type="spellEnd"/>
      <w:r>
        <w:rPr>
          <w:rFonts w:asciiTheme="minorHAnsi" w:hAnsiTheme="minorHAnsi" w:cstheme="minorHAnsi"/>
          <w:lang w:val="es-AR"/>
        </w:rPr>
        <w:t xml:space="preserve"> </w:t>
      </w:r>
      <w:proofErr w:type="spellStart"/>
      <w:r w:rsidRPr="006D610B">
        <w:rPr>
          <w:rFonts w:asciiTheme="minorHAnsi" w:hAnsiTheme="minorHAnsi" w:cstheme="minorHAnsi"/>
          <w:lang w:val="es-AR"/>
        </w:rPr>
        <w:t>enPacientes</w:t>
      </w:r>
      <w:proofErr w:type="spellEnd"/>
      <w:r w:rsidRPr="006D610B">
        <w:rPr>
          <w:rFonts w:asciiTheme="minorHAnsi" w:hAnsiTheme="minorHAnsi" w:cstheme="minorHAnsi"/>
          <w:lang w:val="es-AR"/>
        </w:rPr>
        <w:t xml:space="preserve"> Con EPOC: Relación</w:t>
      </w:r>
      <w:r>
        <w:rPr>
          <w:rFonts w:asciiTheme="minorHAnsi" w:hAnsiTheme="minorHAnsi" w:cstheme="minorHAnsi"/>
          <w:lang w:val="es-AR"/>
        </w:rPr>
        <w:t xml:space="preserve"> </w:t>
      </w:r>
      <w:r w:rsidRPr="006D610B">
        <w:rPr>
          <w:rFonts w:asciiTheme="minorHAnsi" w:hAnsiTheme="minorHAnsi" w:cstheme="minorHAnsi"/>
          <w:lang w:val="es-AR"/>
        </w:rPr>
        <w:t>con Severidad</w:t>
      </w:r>
      <w:r>
        <w:rPr>
          <w:rFonts w:asciiTheme="minorHAnsi" w:hAnsiTheme="minorHAnsi" w:cstheme="minorHAnsi"/>
          <w:lang w:val="es-AR"/>
        </w:rPr>
        <w:t xml:space="preserve"> </w:t>
      </w:r>
      <w:r w:rsidRPr="006D610B">
        <w:rPr>
          <w:rFonts w:asciiTheme="minorHAnsi" w:hAnsiTheme="minorHAnsi" w:cstheme="minorHAnsi"/>
          <w:lang w:val="es-AR"/>
        </w:rPr>
        <w:t>e</w:t>
      </w:r>
      <w:r>
        <w:rPr>
          <w:rFonts w:asciiTheme="minorHAnsi" w:hAnsiTheme="minorHAnsi" w:cstheme="minorHAnsi"/>
          <w:lang w:val="es-AR"/>
        </w:rPr>
        <w:t xml:space="preserve"> </w:t>
      </w:r>
      <w:proofErr w:type="spellStart"/>
      <w:r w:rsidRPr="006D610B">
        <w:rPr>
          <w:rFonts w:asciiTheme="minorHAnsi" w:hAnsiTheme="minorHAnsi" w:cstheme="minorHAnsi"/>
          <w:lang w:val="es-AR"/>
        </w:rPr>
        <w:t>Insulinorresistencia</w:t>
      </w:r>
      <w:proofErr w:type="spellEnd"/>
      <w:r w:rsidRPr="006D610B">
        <w:rPr>
          <w:rFonts w:asciiTheme="minorHAnsi" w:hAnsiTheme="minorHAnsi" w:cstheme="minorHAnsi"/>
          <w:lang w:val="es-AR"/>
        </w:rPr>
        <w:t>. Presentación Oral, Congreso</w:t>
      </w:r>
      <w:r>
        <w:rPr>
          <w:rFonts w:asciiTheme="minorHAnsi" w:hAnsiTheme="minorHAnsi" w:cstheme="minorHAnsi"/>
          <w:lang w:val="es-AR"/>
        </w:rPr>
        <w:t xml:space="preserve"> </w:t>
      </w:r>
      <w:r w:rsidRPr="006D610B">
        <w:rPr>
          <w:rFonts w:asciiTheme="minorHAnsi" w:hAnsiTheme="minorHAnsi" w:cstheme="minorHAnsi"/>
          <w:lang w:val="es-AR"/>
        </w:rPr>
        <w:t>Argentino AAMR 2012</w:t>
      </w:r>
    </w:p>
    <w:sectPr w:rsidR="00CA0496" w:rsidRPr="006D610B" w:rsidSect="00764E4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Monotype Sort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4C38"/>
    <w:multiLevelType w:val="hybridMultilevel"/>
    <w:tmpl w:val="79DA10D2"/>
    <w:lvl w:ilvl="0" w:tplc="B6323FB4">
      <w:start w:val="1"/>
      <w:numFmt w:val="bullet"/>
      <w:lvlText w:val="n"/>
      <w:lvlJc w:val="left"/>
      <w:pPr>
        <w:tabs>
          <w:tab w:val="num" w:pos="720"/>
        </w:tabs>
        <w:ind w:left="720" w:hanging="360"/>
      </w:pPr>
      <w:rPr>
        <w:rFonts w:ascii="Monotype Sorts" w:hAnsi="Monotype Sorts" w:hint="default"/>
      </w:rPr>
    </w:lvl>
    <w:lvl w:ilvl="1" w:tplc="38322128" w:tentative="1">
      <w:start w:val="1"/>
      <w:numFmt w:val="bullet"/>
      <w:lvlText w:val="n"/>
      <w:lvlJc w:val="left"/>
      <w:pPr>
        <w:tabs>
          <w:tab w:val="num" w:pos="1440"/>
        </w:tabs>
        <w:ind w:left="1440" w:hanging="360"/>
      </w:pPr>
      <w:rPr>
        <w:rFonts w:ascii="Monotype Sorts" w:hAnsi="Monotype Sorts" w:hint="default"/>
      </w:rPr>
    </w:lvl>
    <w:lvl w:ilvl="2" w:tplc="4D9829E6" w:tentative="1">
      <w:start w:val="1"/>
      <w:numFmt w:val="bullet"/>
      <w:lvlText w:val="n"/>
      <w:lvlJc w:val="left"/>
      <w:pPr>
        <w:tabs>
          <w:tab w:val="num" w:pos="2160"/>
        </w:tabs>
        <w:ind w:left="2160" w:hanging="360"/>
      </w:pPr>
      <w:rPr>
        <w:rFonts w:ascii="Monotype Sorts" w:hAnsi="Monotype Sorts" w:hint="default"/>
      </w:rPr>
    </w:lvl>
    <w:lvl w:ilvl="3" w:tplc="CB725C28" w:tentative="1">
      <w:start w:val="1"/>
      <w:numFmt w:val="bullet"/>
      <w:lvlText w:val="n"/>
      <w:lvlJc w:val="left"/>
      <w:pPr>
        <w:tabs>
          <w:tab w:val="num" w:pos="2880"/>
        </w:tabs>
        <w:ind w:left="2880" w:hanging="360"/>
      </w:pPr>
      <w:rPr>
        <w:rFonts w:ascii="Monotype Sorts" w:hAnsi="Monotype Sorts" w:hint="default"/>
      </w:rPr>
    </w:lvl>
    <w:lvl w:ilvl="4" w:tplc="E502FAAE" w:tentative="1">
      <w:start w:val="1"/>
      <w:numFmt w:val="bullet"/>
      <w:lvlText w:val="n"/>
      <w:lvlJc w:val="left"/>
      <w:pPr>
        <w:tabs>
          <w:tab w:val="num" w:pos="3600"/>
        </w:tabs>
        <w:ind w:left="3600" w:hanging="360"/>
      </w:pPr>
      <w:rPr>
        <w:rFonts w:ascii="Monotype Sorts" w:hAnsi="Monotype Sorts" w:hint="default"/>
      </w:rPr>
    </w:lvl>
    <w:lvl w:ilvl="5" w:tplc="79E6D71C" w:tentative="1">
      <w:start w:val="1"/>
      <w:numFmt w:val="bullet"/>
      <w:lvlText w:val="n"/>
      <w:lvlJc w:val="left"/>
      <w:pPr>
        <w:tabs>
          <w:tab w:val="num" w:pos="4320"/>
        </w:tabs>
        <w:ind w:left="4320" w:hanging="360"/>
      </w:pPr>
      <w:rPr>
        <w:rFonts w:ascii="Monotype Sorts" w:hAnsi="Monotype Sorts" w:hint="default"/>
      </w:rPr>
    </w:lvl>
    <w:lvl w:ilvl="6" w:tplc="FAC64158" w:tentative="1">
      <w:start w:val="1"/>
      <w:numFmt w:val="bullet"/>
      <w:lvlText w:val="n"/>
      <w:lvlJc w:val="left"/>
      <w:pPr>
        <w:tabs>
          <w:tab w:val="num" w:pos="5040"/>
        </w:tabs>
        <w:ind w:left="5040" w:hanging="360"/>
      </w:pPr>
      <w:rPr>
        <w:rFonts w:ascii="Monotype Sorts" w:hAnsi="Monotype Sorts" w:hint="default"/>
      </w:rPr>
    </w:lvl>
    <w:lvl w:ilvl="7" w:tplc="283E5350" w:tentative="1">
      <w:start w:val="1"/>
      <w:numFmt w:val="bullet"/>
      <w:lvlText w:val="n"/>
      <w:lvlJc w:val="left"/>
      <w:pPr>
        <w:tabs>
          <w:tab w:val="num" w:pos="5760"/>
        </w:tabs>
        <w:ind w:left="5760" w:hanging="360"/>
      </w:pPr>
      <w:rPr>
        <w:rFonts w:ascii="Monotype Sorts" w:hAnsi="Monotype Sorts" w:hint="default"/>
      </w:rPr>
    </w:lvl>
    <w:lvl w:ilvl="8" w:tplc="B226F148" w:tentative="1">
      <w:start w:val="1"/>
      <w:numFmt w:val="bullet"/>
      <w:lvlText w:val="n"/>
      <w:lvlJc w:val="left"/>
      <w:pPr>
        <w:tabs>
          <w:tab w:val="num" w:pos="6480"/>
        </w:tabs>
        <w:ind w:left="6480" w:hanging="360"/>
      </w:pPr>
      <w:rPr>
        <w:rFonts w:ascii="Monotype Sorts" w:hAnsi="Monotype Sorts" w:hint="default"/>
      </w:rPr>
    </w:lvl>
  </w:abstractNum>
  <w:abstractNum w:abstractNumId="1">
    <w:nsid w:val="1E2E0C36"/>
    <w:multiLevelType w:val="hybridMultilevel"/>
    <w:tmpl w:val="4032193A"/>
    <w:lvl w:ilvl="0" w:tplc="06F06008">
      <w:start w:val="1"/>
      <w:numFmt w:val="bullet"/>
      <w:lvlText w:val=""/>
      <w:lvlJc w:val="left"/>
      <w:pPr>
        <w:tabs>
          <w:tab w:val="num" w:pos="720"/>
        </w:tabs>
        <w:ind w:left="720" w:hanging="360"/>
      </w:pPr>
      <w:rPr>
        <w:rFonts w:ascii="Wingdings" w:hAnsi="Wingdings" w:hint="default"/>
      </w:rPr>
    </w:lvl>
    <w:lvl w:ilvl="1" w:tplc="75DAB2D6" w:tentative="1">
      <w:start w:val="1"/>
      <w:numFmt w:val="bullet"/>
      <w:lvlText w:val=""/>
      <w:lvlJc w:val="left"/>
      <w:pPr>
        <w:tabs>
          <w:tab w:val="num" w:pos="1440"/>
        </w:tabs>
        <w:ind w:left="1440" w:hanging="360"/>
      </w:pPr>
      <w:rPr>
        <w:rFonts w:ascii="Wingdings" w:hAnsi="Wingdings" w:hint="default"/>
      </w:rPr>
    </w:lvl>
    <w:lvl w:ilvl="2" w:tplc="322065BA" w:tentative="1">
      <w:start w:val="1"/>
      <w:numFmt w:val="bullet"/>
      <w:lvlText w:val=""/>
      <w:lvlJc w:val="left"/>
      <w:pPr>
        <w:tabs>
          <w:tab w:val="num" w:pos="2160"/>
        </w:tabs>
        <w:ind w:left="2160" w:hanging="360"/>
      </w:pPr>
      <w:rPr>
        <w:rFonts w:ascii="Wingdings" w:hAnsi="Wingdings" w:hint="default"/>
      </w:rPr>
    </w:lvl>
    <w:lvl w:ilvl="3" w:tplc="057A522A" w:tentative="1">
      <w:start w:val="1"/>
      <w:numFmt w:val="bullet"/>
      <w:lvlText w:val=""/>
      <w:lvlJc w:val="left"/>
      <w:pPr>
        <w:tabs>
          <w:tab w:val="num" w:pos="2880"/>
        </w:tabs>
        <w:ind w:left="2880" w:hanging="360"/>
      </w:pPr>
      <w:rPr>
        <w:rFonts w:ascii="Wingdings" w:hAnsi="Wingdings" w:hint="default"/>
      </w:rPr>
    </w:lvl>
    <w:lvl w:ilvl="4" w:tplc="99F86038" w:tentative="1">
      <w:start w:val="1"/>
      <w:numFmt w:val="bullet"/>
      <w:lvlText w:val=""/>
      <w:lvlJc w:val="left"/>
      <w:pPr>
        <w:tabs>
          <w:tab w:val="num" w:pos="3600"/>
        </w:tabs>
        <w:ind w:left="3600" w:hanging="360"/>
      </w:pPr>
      <w:rPr>
        <w:rFonts w:ascii="Wingdings" w:hAnsi="Wingdings" w:hint="default"/>
      </w:rPr>
    </w:lvl>
    <w:lvl w:ilvl="5" w:tplc="BA225514" w:tentative="1">
      <w:start w:val="1"/>
      <w:numFmt w:val="bullet"/>
      <w:lvlText w:val=""/>
      <w:lvlJc w:val="left"/>
      <w:pPr>
        <w:tabs>
          <w:tab w:val="num" w:pos="4320"/>
        </w:tabs>
        <w:ind w:left="4320" w:hanging="360"/>
      </w:pPr>
      <w:rPr>
        <w:rFonts w:ascii="Wingdings" w:hAnsi="Wingdings" w:hint="default"/>
      </w:rPr>
    </w:lvl>
    <w:lvl w:ilvl="6" w:tplc="66F405FC" w:tentative="1">
      <w:start w:val="1"/>
      <w:numFmt w:val="bullet"/>
      <w:lvlText w:val=""/>
      <w:lvlJc w:val="left"/>
      <w:pPr>
        <w:tabs>
          <w:tab w:val="num" w:pos="5040"/>
        </w:tabs>
        <w:ind w:left="5040" w:hanging="360"/>
      </w:pPr>
      <w:rPr>
        <w:rFonts w:ascii="Wingdings" w:hAnsi="Wingdings" w:hint="default"/>
      </w:rPr>
    </w:lvl>
    <w:lvl w:ilvl="7" w:tplc="167A8C6C" w:tentative="1">
      <w:start w:val="1"/>
      <w:numFmt w:val="bullet"/>
      <w:lvlText w:val=""/>
      <w:lvlJc w:val="left"/>
      <w:pPr>
        <w:tabs>
          <w:tab w:val="num" w:pos="5760"/>
        </w:tabs>
        <w:ind w:left="5760" w:hanging="360"/>
      </w:pPr>
      <w:rPr>
        <w:rFonts w:ascii="Wingdings" w:hAnsi="Wingdings" w:hint="default"/>
      </w:rPr>
    </w:lvl>
    <w:lvl w:ilvl="8" w:tplc="70B2D00C" w:tentative="1">
      <w:start w:val="1"/>
      <w:numFmt w:val="bullet"/>
      <w:lvlText w:val=""/>
      <w:lvlJc w:val="left"/>
      <w:pPr>
        <w:tabs>
          <w:tab w:val="num" w:pos="6480"/>
        </w:tabs>
        <w:ind w:left="6480" w:hanging="360"/>
      </w:pPr>
      <w:rPr>
        <w:rFonts w:ascii="Wingdings" w:hAnsi="Wingdings" w:hint="default"/>
      </w:rPr>
    </w:lvl>
  </w:abstractNum>
  <w:abstractNum w:abstractNumId="2">
    <w:nsid w:val="2E0126DE"/>
    <w:multiLevelType w:val="hybridMultilevel"/>
    <w:tmpl w:val="A29823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51B5620"/>
    <w:multiLevelType w:val="hybridMultilevel"/>
    <w:tmpl w:val="3C0022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7B6355B"/>
    <w:multiLevelType w:val="hybridMultilevel"/>
    <w:tmpl w:val="1E863F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5B9413CA"/>
    <w:multiLevelType w:val="hybridMultilevel"/>
    <w:tmpl w:val="FC18C772"/>
    <w:lvl w:ilvl="0" w:tplc="EE98C16C">
      <w:start w:val="1"/>
      <w:numFmt w:val="bullet"/>
      <w:lvlText w:val=""/>
      <w:lvlJc w:val="left"/>
      <w:pPr>
        <w:tabs>
          <w:tab w:val="num" w:pos="720"/>
        </w:tabs>
        <w:ind w:left="720" w:hanging="360"/>
      </w:pPr>
      <w:rPr>
        <w:rFonts w:ascii="Wingdings" w:hAnsi="Wingdings" w:hint="default"/>
      </w:rPr>
    </w:lvl>
    <w:lvl w:ilvl="1" w:tplc="F43AF6A8" w:tentative="1">
      <w:start w:val="1"/>
      <w:numFmt w:val="bullet"/>
      <w:lvlText w:val=""/>
      <w:lvlJc w:val="left"/>
      <w:pPr>
        <w:tabs>
          <w:tab w:val="num" w:pos="1440"/>
        </w:tabs>
        <w:ind w:left="1440" w:hanging="360"/>
      </w:pPr>
      <w:rPr>
        <w:rFonts w:ascii="Wingdings" w:hAnsi="Wingdings" w:hint="default"/>
      </w:rPr>
    </w:lvl>
    <w:lvl w:ilvl="2" w:tplc="3E92F720" w:tentative="1">
      <w:start w:val="1"/>
      <w:numFmt w:val="bullet"/>
      <w:lvlText w:val=""/>
      <w:lvlJc w:val="left"/>
      <w:pPr>
        <w:tabs>
          <w:tab w:val="num" w:pos="2160"/>
        </w:tabs>
        <w:ind w:left="2160" w:hanging="360"/>
      </w:pPr>
      <w:rPr>
        <w:rFonts w:ascii="Wingdings" w:hAnsi="Wingdings" w:hint="default"/>
      </w:rPr>
    </w:lvl>
    <w:lvl w:ilvl="3" w:tplc="306AD50A" w:tentative="1">
      <w:start w:val="1"/>
      <w:numFmt w:val="bullet"/>
      <w:lvlText w:val=""/>
      <w:lvlJc w:val="left"/>
      <w:pPr>
        <w:tabs>
          <w:tab w:val="num" w:pos="2880"/>
        </w:tabs>
        <w:ind w:left="2880" w:hanging="360"/>
      </w:pPr>
      <w:rPr>
        <w:rFonts w:ascii="Wingdings" w:hAnsi="Wingdings" w:hint="default"/>
      </w:rPr>
    </w:lvl>
    <w:lvl w:ilvl="4" w:tplc="61F20466" w:tentative="1">
      <w:start w:val="1"/>
      <w:numFmt w:val="bullet"/>
      <w:lvlText w:val=""/>
      <w:lvlJc w:val="left"/>
      <w:pPr>
        <w:tabs>
          <w:tab w:val="num" w:pos="3600"/>
        </w:tabs>
        <w:ind w:left="3600" w:hanging="360"/>
      </w:pPr>
      <w:rPr>
        <w:rFonts w:ascii="Wingdings" w:hAnsi="Wingdings" w:hint="default"/>
      </w:rPr>
    </w:lvl>
    <w:lvl w:ilvl="5" w:tplc="339C3EB6" w:tentative="1">
      <w:start w:val="1"/>
      <w:numFmt w:val="bullet"/>
      <w:lvlText w:val=""/>
      <w:lvlJc w:val="left"/>
      <w:pPr>
        <w:tabs>
          <w:tab w:val="num" w:pos="4320"/>
        </w:tabs>
        <w:ind w:left="4320" w:hanging="360"/>
      </w:pPr>
      <w:rPr>
        <w:rFonts w:ascii="Wingdings" w:hAnsi="Wingdings" w:hint="default"/>
      </w:rPr>
    </w:lvl>
    <w:lvl w:ilvl="6" w:tplc="1820D974" w:tentative="1">
      <w:start w:val="1"/>
      <w:numFmt w:val="bullet"/>
      <w:lvlText w:val=""/>
      <w:lvlJc w:val="left"/>
      <w:pPr>
        <w:tabs>
          <w:tab w:val="num" w:pos="5040"/>
        </w:tabs>
        <w:ind w:left="5040" w:hanging="360"/>
      </w:pPr>
      <w:rPr>
        <w:rFonts w:ascii="Wingdings" w:hAnsi="Wingdings" w:hint="default"/>
      </w:rPr>
    </w:lvl>
    <w:lvl w:ilvl="7" w:tplc="DD1AE74C" w:tentative="1">
      <w:start w:val="1"/>
      <w:numFmt w:val="bullet"/>
      <w:lvlText w:val=""/>
      <w:lvlJc w:val="left"/>
      <w:pPr>
        <w:tabs>
          <w:tab w:val="num" w:pos="5760"/>
        </w:tabs>
        <w:ind w:left="5760" w:hanging="360"/>
      </w:pPr>
      <w:rPr>
        <w:rFonts w:ascii="Wingdings" w:hAnsi="Wingdings" w:hint="default"/>
      </w:rPr>
    </w:lvl>
    <w:lvl w:ilvl="8" w:tplc="143CA7FC" w:tentative="1">
      <w:start w:val="1"/>
      <w:numFmt w:val="bullet"/>
      <w:lvlText w:val=""/>
      <w:lvlJc w:val="left"/>
      <w:pPr>
        <w:tabs>
          <w:tab w:val="num" w:pos="6480"/>
        </w:tabs>
        <w:ind w:left="6480" w:hanging="360"/>
      </w:pPr>
      <w:rPr>
        <w:rFonts w:ascii="Wingdings" w:hAnsi="Wingdings" w:hint="default"/>
      </w:rPr>
    </w:lvl>
  </w:abstractNum>
  <w:abstractNum w:abstractNumId="6">
    <w:nsid w:val="6AB8508A"/>
    <w:multiLevelType w:val="hybridMultilevel"/>
    <w:tmpl w:val="FFAAD4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6EA5110B"/>
    <w:multiLevelType w:val="hybridMultilevel"/>
    <w:tmpl w:val="2B9A1348"/>
    <w:lvl w:ilvl="0" w:tplc="1D9A0F3E">
      <w:start w:val="1"/>
      <w:numFmt w:val="bullet"/>
      <w:lvlText w:val=""/>
      <w:lvlJc w:val="left"/>
      <w:pPr>
        <w:tabs>
          <w:tab w:val="num" w:pos="720"/>
        </w:tabs>
        <w:ind w:left="720" w:hanging="360"/>
      </w:pPr>
      <w:rPr>
        <w:rFonts w:ascii="Wingdings" w:hAnsi="Wingdings" w:hint="default"/>
      </w:rPr>
    </w:lvl>
    <w:lvl w:ilvl="1" w:tplc="18DADAFE" w:tentative="1">
      <w:start w:val="1"/>
      <w:numFmt w:val="bullet"/>
      <w:lvlText w:val=""/>
      <w:lvlJc w:val="left"/>
      <w:pPr>
        <w:tabs>
          <w:tab w:val="num" w:pos="1440"/>
        </w:tabs>
        <w:ind w:left="1440" w:hanging="360"/>
      </w:pPr>
      <w:rPr>
        <w:rFonts w:ascii="Wingdings" w:hAnsi="Wingdings" w:hint="default"/>
      </w:rPr>
    </w:lvl>
    <w:lvl w:ilvl="2" w:tplc="FFF2803E" w:tentative="1">
      <w:start w:val="1"/>
      <w:numFmt w:val="bullet"/>
      <w:lvlText w:val=""/>
      <w:lvlJc w:val="left"/>
      <w:pPr>
        <w:tabs>
          <w:tab w:val="num" w:pos="2160"/>
        </w:tabs>
        <w:ind w:left="2160" w:hanging="360"/>
      </w:pPr>
      <w:rPr>
        <w:rFonts w:ascii="Wingdings" w:hAnsi="Wingdings" w:hint="default"/>
      </w:rPr>
    </w:lvl>
    <w:lvl w:ilvl="3" w:tplc="484CDF30" w:tentative="1">
      <w:start w:val="1"/>
      <w:numFmt w:val="bullet"/>
      <w:lvlText w:val=""/>
      <w:lvlJc w:val="left"/>
      <w:pPr>
        <w:tabs>
          <w:tab w:val="num" w:pos="2880"/>
        </w:tabs>
        <w:ind w:left="2880" w:hanging="360"/>
      </w:pPr>
      <w:rPr>
        <w:rFonts w:ascii="Wingdings" w:hAnsi="Wingdings" w:hint="default"/>
      </w:rPr>
    </w:lvl>
    <w:lvl w:ilvl="4" w:tplc="D75ECF86" w:tentative="1">
      <w:start w:val="1"/>
      <w:numFmt w:val="bullet"/>
      <w:lvlText w:val=""/>
      <w:lvlJc w:val="left"/>
      <w:pPr>
        <w:tabs>
          <w:tab w:val="num" w:pos="3600"/>
        </w:tabs>
        <w:ind w:left="3600" w:hanging="360"/>
      </w:pPr>
      <w:rPr>
        <w:rFonts w:ascii="Wingdings" w:hAnsi="Wingdings" w:hint="default"/>
      </w:rPr>
    </w:lvl>
    <w:lvl w:ilvl="5" w:tplc="FC8E9B94" w:tentative="1">
      <w:start w:val="1"/>
      <w:numFmt w:val="bullet"/>
      <w:lvlText w:val=""/>
      <w:lvlJc w:val="left"/>
      <w:pPr>
        <w:tabs>
          <w:tab w:val="num" w:pos="4320"/>
        </w:tabs>
        <w:ind w:left="4320" w:hanging="360"/>
      </w:pPr>
      <w:rPr>
        <w:rFonts w:ascii="Wingdings" w:hAnsi="Wingdings" w:hint="default"/>
      </w:rPr>
    </w:lvl>
    <w:lvl w:ilvl="6" w:tplc="07A2359A" w:tentative="1">
      <w:start w:val="1"/>
      <w:numFmt w:val="bullet"/>
      <w:lvlText w:val=""/>
      <w:lvlJc w:val="left"/>
      <w:pPr>
        <w:tabs>
          <w:tab w:val="num" w:pos="5040"/>
        </w:tabs>
        <w:ind w:left="5040" w:hanging="360"/>
      </w:pPr>
      <w:rPr>
        <w:rFonts w:ascii="Wingdings" w:hAnsi="Wingdings" w:hint="default"/>
      </w:rPr>
    </w:lvl>
    <w:lvl w:ilvl="7" w:tplc="B43863C8" w:tentative="1">
      <w:start w:val="1"/>
      <w:numFmt w:val="bullet"/>
      <w:lvlText w:val=""/>
      <w:lvlJc w:val="left"/>
      <w:pPr>
        <w:tabs>
          <w:tab w:val="num" w:pos="5760"/>
        </w:tabs>
        <w:ind w:left="5760" w:hanging="360"/>
      </w:pPr>
      <w:rPr>
        <w:rFonts w:ascii="Wingdings" w:hAnsi="Wingdings" w:hint="default"/>
      </w:rPr>
    </w:lvl>
    <w:lvl w:ilvl="8" w:tplc="7936A0B6" w:tentative="1">
      <w:start w:val="1"/>
      <w:numFmt w:val="bullet"/>
      <w:lvlText w:val=""/>
      <w:lvlJc w:val="left"/>
      <w:pPr>
        <w:tabs>
          <w:tab w:val="num" w:pos="6480"/>
        </w:tabs>
        <w:ind w:left="6480" w:hanging="360"/>
      </w:pPr>
      <w:rPr>
        <w:rFonts w:ascii="Wingdings" w:hAnsi="Wingdings" w:hint="default"/>
      </w:rPr>
    </w:lvl>
  </w:abstractNum>
  <w:abstractNum w:abstractNumId="8">
    <w:nsid w:val="76A4458A"/>
    <w:multiLevelType w:val="hybridMultilevel"/>
    <w:tmpl w:val="EE70C3E0"/>
    <w:lvl w:ilvl="0" w:tplc="258A647E">
      <w:start w:val="1"/>
      <w:numFmt w:val="bullet"/>
      <w:lvlText w:val=""/>
      <w:lvlJc w:val="left"/>
      <w:pPr>
        <w:tabs>
          <w:tab w:val="num" w:pos="720"/>
        </w:tabs>
        <w:ind w:left="720" w:hanging="360"/>
      </w:pPr>
      <w:rPr>
        <w:rFonts w:ascii="Wingdings" w:hAnsi="Wingdings" w:hint="default"/>
      </w:rPr>
    </w:lvl>
    <w:lvl w:ilvl="1" w:tplc="CCBA8CFA" w:tentative="1">
      <w:start w:val="1"/>
      <w:numFmt w:val="bullet"/>
      <w:lvlText w:val=""/>
      <w:lvlJc w:val="left"/>
      <w:pPr>
        <w:tabs>
          <w:tab w:val="num" w:pos="1440"/>
        </w:tabs>
        <w:ind w:left="1440" w:hanging="360"/>
      </w:pPr>
      <w:rPr>
        <w:rFonts w:ascii="Wingdings" w:hAnsi="Wingdings" w:hint="default"/>
      </w:rPr>
    </w:lvl>
    <w:lvl w:ilvl="2" w:tplc="E0C0BFF2" w:tentative="1">
      <w:start w:val="1"/>
      <w:numFmt w:val="bullet"/>
      <w:lvlText w:val=""/>
      <w:lvlJc w:val="left"/>
      <w:pPr>
        <w:tabs>
          <w:tab w:val="num" w:pos="2160"/>
        </w:tabs>
        <w:ind w:left="2160" w:hanging="360"/>
      </w:pPr>
      <w:rPr>
        <w:rFonts w:ascii="Wingdings" w:hAnsi="Wingdings" w:hint="default"/>
      </w:rPr>
    </w:lvl>
    <w:lvl w:ilvl="3" w:tplc="3ABE1B7E" w:tentative="1">
      <w:start w:val="1"/>
      <w:numFmt w:val="bullet"/>
      <w:lvlText w:val=""/>
      <w:lvlJc w:val="left"/>
      <w:pPr>
        <w:tabs>
          <w:tab w:val="num" w:pos="2880"/>
        </w:tabs>
        <w:ind w:left="2880" w:hanging="360"/>
      </w:pPr>
      <w:rPr>
        <w:rFonts w:ascii="Wingdings" w:hAnsi="Wingdings" w:hint="default"/>
      </w:rPr>
    </w:lvl>
    <w:lvl w:ilvl="4" w:tplc="25569D20" w:tentative="1">
      <w:start w:val="1"/>
      <w:numFmt w:val="bullet"/>
      <w:lvlText w:val=""/>
      <w:lvlJc w:val="left"/>
      <w:pPr>
        <w:tabs>
          <w:tab w:val="num" w:pos="3600"/>
        </w:tabs>
        <w:ind w:left="3600" w:hanging="360"/>
      </w:pPr>
      <w:rPr>
        <w:rFonts w:ascii="Wingdings" w:hAnsi="Wingdings" w:hint="default"/>
      </w:rPr>
    </w:lvl>
    <w:lvl w:ilvl="5" w:tplc="86109088" w:tentative="1">
      <w:start w:val="1"/>
      <w:numFmt w:val="bullet"/>
      <w:lvlText w:val=""/>
      <w:lvlJc w:val="left"/>
      <w:pPr>
        <w:tabs>
          <w:tab w:val="num" w:pos="4320"/>
        </w:tabs>
        <w:ind w:left="4320" w:hanging="360"/>
      </w:pPr>
      <w:rPr>
        <w:rFonts w:ascii="Wingdings" w:hAnsi="Wingdings" w:hint="default"/>
      </w:rPr>
    </w:lvl>
    <w:lvl w:ilvl="6" w:tplc="4658ED98" w:tentative="1">
      <w:start w:val="1"/>
      <w:numFmt w:val="bullet"/>
      <w:lvlText w:val=""/>
      <w:lvlJc w:val="left"/>
      <w:pPr>
        <w:tabs>
          <w:tab w:val="num" w:pos="5040"/>
        </w:tabs>
        <w:ind w:left="5040" w:hanging="360"/>
      </w:pPr>
      <w:rPr>
        <w:rFonts w:ascii="Wingdings" w:hAnsi="Wingdings" w:hint="default"/>
      </w:rPr>
    </w:lvl>
    <w:lvl w:ilvl="7" w:tplc="84229DCE" w:tentative="1">
      <w:start w:val="1"/>
      <w:numFmt w:val="bullet"/>
      <w:lvlText w:val=""/>
      <w:lvlJc w:val="left"/>
      <w:pPr>
        <w:tabs>
          <w:tab w:val="num" w:pos="5760"/>
        </w:tabs>
        <w:ind w:left="5760" w:hanging="360"/>
      </w:pPr>
      <w:rPr>
        <w:rFonts w:ascii="Wingdings" w:hAnsi="Wingdings" w:hint="default"/>
      </w:rPr>
    </w:lvl>
    <w:lvl w:ilvl="8" w:tplc="68309958" w:tentative="1">
      <w:start w:val="1"/>
      <w:numFmt w:val="bullet"/>
      <w:lvlText w:val=""/>
      <w:lvlJc w:val="left"/>
      <w:pPr>
        <w:tabs>
          <w:tab w:val="num" w:pos="6480"/>
        </w:tabs>
        <w:ind w:left="6480" w:hanging="360"/>
      </w:pPr>
      <w:rPr>
        <w:rFonts w:ascii="Wingdings" w:hAnsi="Wingdings" w:hint="default"/>
      </w:rPr>
    </w:lvl>
  </w:abstractNum>
  <w:abstractNum w:abstractNumId="9">
    <w:nsid w:val="7F2A3D4D"/>
    <w:multiLevelType w:val="hybridMultilevel"/>
    <w:tmpl w:val="3A48592C"/>
    <w:lvl w:ilvl="0" w:tplc="B2D87A7A">
      <w:numFmt w:val="bullet"/>
      <w:lvlText w:val=""/>
      <w:lvlJc w:val="left"/>
      <w:pPr>
        <w:ind w:left="720" w:hanging="360"/>
      </w:pPr>
      <w:rPr>
        <w:rFonts w:ascii="Calibri" w:eastAsia="Calibri" w:hAnsi="Calibri" w:cs="Trebuchet M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7"/>
  </w:num>
  <w:num w:numId="5">
    <w:abstractNumId w:val="0"/>
  </w:num>
  <w:num w:numId="6">
    <w:abstractNumId w:val="3"/>
  </w:num>
  <w:num w:numId="7">
    <w:abstractNumId w:val="2"/>
  </w:num>
  <w:num w:numId="8">
    <w:abstractNumId w:val="9"/>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compat/>
  <w:rsids>
    <w:rsidRoot w:val="00D1255B"/>
    <w:rsid w:val="00004309"/>
    <w:rsid w:val="00015D89"/>
    <w:rsid w:val="000234D7"/>
    <w:rsid w:val="00031F48"/>
    <w:rsid w:val="000A0CD9"/>
    <w:rsid w:val="000C1FFA"/>
    <w:rsid w:val="000D771B"/>
    <w:rsid w:val="00100C4C"/>
    <w:rsid w:val="00101901"/>
    <w:rsid w:val="00133ADE"/>
    <w:rsid w:val="00134436"/>
    <w:rsid w:val="00137090"/>
    <w:rsid w:val="00146020"/>
    <w:rsid w:val="00150950"/>
    <w:rsid w:val="00156D7C"/>
    <w:rsid w:val="00193C8B"/>
    <w:rsid w:val="001A0926"/>
    <w:rsid w:val="001B4EC6"/>
    <w:rsid w:val="001B7B05"/>
    <w:rsid w:val="001F4D08"/>
    <w:rsid w:val="00222FAF"/>
    <w:rsid w:val="00225DA6"/>
    <w:rsid w:val="00234080"/>
    <w:rsid w:val="00240942"/>
    <w:rsid w:val="0026118C"/>
    <w:rsid w:val="002F609B"/>
    <w:rsid w:val="00313AD6"/>
    <w:rsid w:val="00351F48"/>
    <w:rsid w:val="00352E14"/>
    <w:rsid w:val="00356314"/>
    <w:rsid w:val="00381F9A"/>
    <w:rsid w:val="003D1533"/>
    <w:rsid w:val="0041518A"/>
    <w:rsid w:val="00473068"/>
    <w:rsid w:val="0047429E"/>
    <w:rsid w:val="004A6E65"/>
    <w:rsid w:val="004B49F8"/>
    <w:rsid w:val="004D4BA3"/>
    <w:rsid w:val="005100F9"/>
    <w:rsid w:val="005224B7"/>
    <w:rsid w:val="00531159"/>
    <w:rsid w:val="00552654"/>
    <w:rsid w:val="00561282"/>
    <w:rsid w:val="00575123"/>
    <w:rsid w:val="00583EC8"/>
    <w:rsid w:val="005B14BC"/>
    <w:rsid w:val="005B4571"/>
    <w:rsid w:val="005D3851"/>
    <w:rsid w:val="005E2F4F"/>
    <w:rsid w:val="00601BBE"/>
    <w:rsid w:val="00632545"/>
    <w:rsid w:val="006753FC"/>
    <w:rsid w:val="0068048D"/>
    <w:rsid w:val="0068555C"/>
    <w:rsid w:val="00691118"/>
    <w:rsid w:val="006B268D"/>
    <w:rsid w:val="006E36D7"/>
    <w:rsid w:val="006E3B08"/>
    <w:rsid w:val="00722288"/>
    <w:rsid w:val="00741D3A"/>
    <w:rsid w:val="00742060"/>
    <w:rsid w:val="00742323"/>
    <w:rsid w:val="00747737"/>
    <w:rsid w:val="0075412A"/>
    <w:rsid w:val="00764E45"/>
    <w:rsid w:val="00766CC0"/>
    <w:rsid w:val="00792280"/>
    <w:rsid w:val="008176C8"/>
    <w:rsid w:val="00845452"/>
    <w:rsid w:val="008533FB"/>
    <w:rsid w:val="0087735E"/>
    <w:rsid w:val="00882634"/>
    <w:rsid w:val="008F3D38"/>
    <w:rsid w:val="008F799C"/>
    <w:rsid w:val="00915B8B"/>
    <w:rsid w:val="0095137E"/>
    <w:rsid w:val="00961227"/>
    <w:rsid w:val="00962782"/>
    <w:rsid w:val="00962E2B"/>
    <w:rsid w:val="009634FC"/>
    <w:rsid w:val="00986F76"/>
    <w:rsid w:val="009D4AC7"/>
    <w:rsid w:val="009F671D"/>
    <w:rsid w:val="00A63117"/>
    <w:rsid w:val="00A85F17"/>
    <w:rsid w:val="00AE4024"/>
    <w:rsid w:val="00B250A3"/>
    <w:rsid w:val="00B5291E"/>
    <w:rsid w:val="00B913EA"/>
    <w:rsid w:val="00BC27FC"/>
    <w:rsid w:val="00BD4FD8"/>
    <w:rsid w:val="00C50F31"/>
    <w:rsid w:val="00C5652B"/>
    <w:rsid w:val="00C641CD"/>
    <w:rsid w:val="00C706C2"/>
    <w:rsid w:val="00C7114F"/>
    <w:rsid w:val="00C95D62"/>
    <w:rsid w:val="00CA0496"/>
    <w:rsid w:val="00CA4C45"/>
    <w:rsid w:val="00CD5994"/>
    <w:rsid w:val="00CE6BC8"/>
    <w:rsid w:val="00CF46B0"/>
    <w:rsid w:val="00D01F46"/>
    <w:rsid w:val="00D1255B"/>
    <w:rsid w:val="00D12AF5"/>
    <w:rsid w:val="00D21A2E"/>
    <w:rsid w:val="00D620C9"/>
    <w:rsid w:val="00D639A7"/>
    <w:rsid w:val="00D846D4"/>
    <w:rsid w:val="00D957A0"/>
    <w:rsid w:val="00DD22CB"/>
    <w:rsid w:val="00DF659B"/>
    <w:rsid w:val="00E11316"/>
    <w:rsid w:val="00E22AE8"/>
    <w:rsid w:val="00E66883"/>
    <w:rsid w:val="00E7374A"/>
    <w:rsid w:val="00EA6035"/>
    <w:rsid w:val="00EB42E1"/>
    <w:rsid w:val="00F0418D"/>
    <w:rsid w:val="00F50A2F"/>
    <w:rsid w:val="00F527A3"/>
    <w:rsid w:val="00F67BDA"/>
    <w:rsid w:val="00F70140"/>
    <w:rsid w:val="00F94021"/>
    <w:rsid w:val="00FA5424"/>
    <w:rsid w:val="00FB27D9"/>
    <w:rsid w:val="00FC4BA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E45"/>
    <w:pPr>
      <w:spacing w:after="200" w:line="276" w:lineRule="auto"/>
    </w:pPr>
    <w:rPr>
      <w:sz w:val="22"/>
      <w:szCs w:val="22"/>
      <w:lang w:val="en-US" w:eastAsia="en-US"/>
    </w:rPr>
  </w:style>
  <w:style w:type="paragraph" w:styleId="Ttulo2">
    <w:name w:val="heading 2"/>
    <w:basedOn w:val="Normal"/>
    <w:link w:val="Ttulo2Car"/>
    <w:uiPriority w:val="9"/>
    <w:qFormat/>
    <w:rsid w:val="006E3B08"/>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1255B"/>
    <w:pPr>
      <w:autoSpaceDE w:val="0"/>
      <w:autoSpaceDN w:val="0"/>
      <w:adjustRightInd w:val="0"/>
    </w:pPr>
    <w:rPr>
      <w:rFonts w:ascii="Trebuchet MS" w:hAnsi="Trebuchet MS" w:cs="Trebuchet MS"/>
      <w:color w:val="000000"/>
      <w:sz w:val="24"/>
      <w:szCs w:val="24"/>
      <w:lang w:val="en-US" w:eastAsia="en-US"/>
    </w:rPr>
  </w:style>
  <w:style w:type="paragraph" w:styleId="NormalWeb">
    <w:name w:val="Normal (Web)"/>
    <w:basedOn w:val="Normal"/>
    <w:uiPriority w:val="99"/>
    <w:unhideWhenUsed/>
    <w:rsid w:val="00031F48"/>
    <w:pPr>
      <w:spacing w:before="100" w:beforeAutospacing="1" w:after="100" w:afterAutospacing="1" w:line="240" w:lineRule="auto"/>
    </w:pPr>
    <w:rPr>
      <w:rFonts w:ascii="Times New Roman" w:eastAsia="Times New Roman" w:hAnsi="Times New Roman"/>
      <w:sz w:val="24"/>
      <w:szCs w:val="24"/>
    </w:rPr>
  </w:style>
  <w:style w:type="character" w:customStyle="1" w:styleId="Ttulo2Car">
    <w:name w:val="Título 2 Car"/>
    <w:link w:val="Ttulo2"/>
    <w:uiPriority w:val="9"/>
    <w:rsid w:val="006E3B08"/>
    <w:rPr>
      <w:rFonts w:ascii="Times New Roman" w:eastAsia="Times New Roman" w:hAnsi="Times New Roman"/>
      <w:b/>
      <w:bCs/>
      <w:sz w:val="36"/>
      <w:szCs w:val="36"/>
    </w:rPr>
  </w:style>
  <w:style w:type="character" w:customStyle="1" w:styleId="noprint">
    <w:name w:val="noprint"/>
    <w:basedOn w:val="Fuentedeprrafopredeter"/>
    <w:rsid w:val="006E3B08"/>
  </w:style>
  <w:style w:type="character" w:customStyle="1" w:styleId="apple-converted-space">
    <w:name w:val="apple-converted-space"/>
    <w:basedOn w:val="Fuentedeprrafopredeter"/>
    <w:rsid w:val="006E3B08"/>
  </w:style>
  <w:style w:type="character" w:customStyle="1" w:styleId="style3">
    <w:name w:val="style3"/>
    <w:basedOn w:val="Fuentedeprrafopredeter"/>
    <w:rsid w:val="006E3B08"/>
  </w:style>
  <w:style w:type="character" w:styleId="Hipervnculo">
    <w:name w:val="Hyperlink"/>
    <w:uiPriority w:val="99"/>
    <w:unhideWhenUsed/>
    <w:rsid w:val="006E3B08"/>
    <w:rPr>
      <w:color w:val="0000FF"/>
      <w:u w:val="single"/>
    </w:rPr>
  </w:style>
  <w:style w:type="character" w:styleId="Textoennegrita">
    <w:name w:val="Strong"/>
    <w:uiPriority w:val="22"/>
    <w:qFormat/>
    <w:rsid w:val="006E3B08"/>
    <w:rPr>
      <w:b/>
      <w:bCs/>
    </w:rPr>
  </w:style>
  <w:style w:type="character" w:customStyle="1" w:styleId="style4">
    <w:name w:val="style4"/>
    <w:basedOn w:val="Fuentedeprrafopredeter"/>
    <w:rsid w:val="006E3B08"/>
  </w:style>
  <w:style w:type="paragraph" w:styleId="Textodeglobo">
    <w:name w:val="Balloon Text"/>
    <w:basedOn w:val="Normal"/>
    <w:link w:val="TextodegloboCar"/>
    <w:uiPriority w:val="99"/>
    <w:semiHidden/>
    <w:unhideWhenUsed/>
    <w:rsid w:val="008773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735E"/>
    <w:rPr>
      <w:rFonts w:ascii="Tahoma" w:hAnsi="Tahoma" w:cs="Tahoma"/>
      <w:sz w:val="16"/>
      <w:szCs w:val="16"/>
      <w:lang w:val="en-US" w:eastAsia="en-US"/>
    </w:rPr>
  </w:style>
  <w:style w:type="paragraph" w:styleId="Prrafodelista">
    <w:name w:val="List Paragraph"/>
    <w:basedOn w:val="Normal"/>
    <w:uiPriority w:val="34"/>
    <w:qFormat/>
    <w:rsid w:val="00575123"/>
    <w:pPr>
      <w:spacing w:after="0" w:line="240" w:lineRule="auto"/>
      <w:ind w:left="720"/>
      <w:contextualSpacing/>
    </w:pPr>
    <w:rPr>
      <w:rFonts w:ascii="Times New Roman" w:eastAsia="Times New Roman" w:hAnsi="Times New Roman"/>
      <w:sz w:val="24"/>
      <w:szCs w:val="24"/>
      <w:lang w:val="es-AR" w:eastAsia="es-AR"/>
    </w:rPr>
  </w:style>
  <w:style w:type="character" w:styleId="nfasis">
    <w:name w:val="Emphasis"/>
    <w:basedOn w:val="Fuentedeprrafopredeter"/>
    <w:uiPriority w:val="20"/>
    <w:qFormat/>
    <w:rsid w:val="00CA04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E45"/>
    <w:pPr>
      <w:spacing w:after="200" w:line="276" w:lineRule="auto"/>
    </w:pPr>
    <w:rPr>
      <w:sz w:val="22"/>
      <w:szCs w:val="22"/>
      <w:lang w:val="en-US" w:eastAsia="en-US"/>
    </w:rPr>
  </w:style>
  <w:style w:type="paragraph" w:styleId="Ttulo2">
    <w:name w:val="heading 2"/>
    <w:basedOn w:val="Normal"/>
    <w:link w:val="Ttulo2Car"/>
    <w:uiPriority w:val="9"/>
    <w:qFormat/>
    <w:rsid w:val="006E3B08"/>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1255B"/>
    <w:pPr>
      <w:autoSpaceDE w:val="0"/>
      <w:autoSpaceDN w:val="0"/>
      <w:adjustRightInd w:val="0"/>
    </w:pPr>
    <w:rPr>
      <w:rFonts w:ascii="Trebuchet MS" w:hAnsi="Trebuchet MS" w:cs="Trebuchet MS"/>
      <w:color w:val="000000"/>
      <w:sz w:val="24"/>
      <w:szCs w:val="24"/>
      <w:lang w:val="en-US" w:eastAsia="en-US"/>
    </w:rPr>
  </w:style>
  <w:style w:type="paragraph" w:styleId="NormalWeb">
    <w:name w:val="Normal (Web)"/>
    <w:basedOn w:val="Normal"/>
    <w:uiPriority w:val="99"/>
    <w:unhideWhenUsed/>
    <w:rsid w:val="00031F48"/>
    <w:pPr>
      <w:spacing w:before="100" w:beforeAutospacing="1" w:after="100" w:afterAutospacing="1" w:line="240" w:lineRule="auto"/>
    </w:pPr>
    <w:rPr>
      <w:rFonts w:ascii="Times New Roman" w:eastAsia="Times New Roman" w:hAnsi="Times New Roman"/>
      <w:sz w:val="24"/>
      <w:szCs w:val="24"/>
    </w:rPr>
  </w:style>
  <w:style w:type="character" w:customStyle="1" w:styleId="Ttulo2Car">
    <w:name w:val="Título 2 Car"/>
    <w:link w:val="Ttulo2"/>
    <w:uiPriority w:val="9"/>
    <w:rsid w:val="006E3B08"/>
    <w:rPr>
      <w:rFonts w:ascii="Times New Roman" w:eastAsia="Times New Roman" w:hAnsi="Times New Roman"/>
      <w:b/>
      <w:bCs/>
      <w:sz w:val="36"/>
      <w:szCs w:val="36"/>
    </w:rPr>
  </w:style>
  <w:style w:type="character" w:customStyle="1" w:styleId="noprint">
    <w:name w:val="noprint"/>
    <w:basedOn w:val="Fuentedeprrafopredeter"/>
    <w:rsid w:val="006E3B08"/>
  </w:style>
  <w:style w:type="character" w:customStyle="1" w:styleId="apple-converted-space">
    <w:name w:val="apple-converted-space"/>
    <w:basedOn w:val="Fuentedeprrafopredeter"/>
    <w:rsid w:val="006E3B08"/>
  </w:style>
  <w:style w:type="character" w:customStyle="1" w:styleId="style3">
    <w:name w:val="style3"/>
    <w:basedOn w:val="Fuentedeprrafopredeter"/>
    <w:rsid w:val="006E3B08"/>
  </w:style>
  <w:style w:type="character" w:styleId="Hipervnculo">
    <w:name w:val="Hyperlink"/>
    <w:uiPriority w:val="99"/>
    <w:unhideWhenUsed/>
    <w:rsid w:val="006E3B08"/>
    <w:rPr>
      <w:color w:val="0000FF"/>
      <w:u w:val="single"/>
    </w:rPr>
  </w:style>
  <w:style w:type="character" w:styleId="Textoennegrita">
    <w:name w:val="Strong"/>
    <w:uiPriority w:val="22"/>
    <w:qFormat/>
    <w:rsid w:val="006E3B08"/>
    <w:rPr>
      <w:b/>
      <w:bCs/>
    </w:rPr>
  </w:style>
  <w:style w:type="character" w:customStyle="1" w:styleId="style4">
    <w:name w:val="style4"/>
    <w:basedOn w:val="Fuentedeprrafopredeter"/>
    <w:rsid w:val="006E3B08"/>
  </w:style>
  <w:style w:type="paragraph" w:styleId="Textodeglobo">
    <w:name w:val="Balloon Text"/>
    <w:basedOn w:val="Normal"/>
    <w:link w:val="TextodegloboCar"/>
    <w:uiPriority w:val="99"/>
    <w:semiHidden/>
    <w:unhideWhenUsed/>
    <w:rsid w:val="008773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735E"/>
    <w:rPr>
      <w:rFonts w:ascii="Tahoma" w:hAnsi="Tahoma" w:cs="Tahoma"/>
      <w:sz w:val="16"/>
      <w:szCs w:val="16"/>
      <w:lang w:val="en-US" w:eastAsia="en-US"/>
    </w:rPr>
  </w:style>
  <w:style w:type="paragraph" w:styleId="Prrafodelista">
    <w:name w:val="List Paragraph"/>
    <w:basedOn w:val="Normal"/>
    <w:uiPriority w:val="34"/>
    <w:qFormat/>
    <w:rsid w:val="00575123"/>
    <w:pPr>
      <w:spacing w:after="0" w:line="240" w:lineRule="auto"/>
      <w:ind w:left="720"/>
      <w:contextualSpacing/>
    </w:pPr>
    <w:rPr>
      <w:rFonts w:ascii="Times New Roman" w:eastAsia="Times New Roman" w:hAnsi="Times New Roman"/>
      <w:sz w:val="24"/>
      <w:szCs w:val="24"/>
      <w:lang w:val="es-AR" w:eastAsia="es-AR"/>
    </w:rPr>
  </w:style>
</w:styles>
</file>

<file path=word/webSettings.xml><?xml version="1.0" encoding="utf-8"?>
<w:webSettings xmlns:r="http://schemas.openxmlformats.org/officeDocument/2006/relationships" xmlns:w="http://schemas.openxmlformats.org/wordprocessingml/2006/main">
  <w:divs>
    <w:div w:id="67189633">
      <w:bodyDiv w:val="1"/>
      <w:marLeft w:val="0"/>
      <w:marRight w:val="0"/>
      <w:marTop w:val="0"/>
      <w:marBottom w:val="0"/>
      <w:divBdr>
        <w:top w:val="none" w:sz="0" w:space="0" w:color="auto"/>
        <w:left w:val="none" w:sz="0" w:space="0" w:color="auto"/>
        <w:bottom w:val="none" w:sz="0" w:space="0" w:color="auto"/>
        <w:right w:val="none" w:sz="0" w:space="0" w:color="auto"/>
      </w:divBdr>
      <w:divsChild>
        <w:div w:id="51927753">
          <w:marLeft w:val="547"/>
          <w:marRight w:val="0"/>
          <w:marTop w:val="538"/>
          <w:marBottom w:val="0"/>
          <w:divBdr>
            <w:top w:val="none" w:sz="0" w:space="0" w:color="auto"/>
            <w:left w:val="none" w:sz="0" w:space="0" w:color="auto"/>
            <w:bottom w:val="none" w:sz="0" w:space="0" w:color="auto"/>
            <w:right w:val="none" w:sz="0" w:space="0" w:color="auto"/>
          </w:divBdr>
        </w:div>
        <w:div w:id="1791048861">
          <w:marLeft w:val="547"/>
          <w:marRight w:val="0"/>
          <w:marTop w:val="538"/>
          <w:marBottom w:val="0"/>
          <w:divBdr>
            <w:top w:val="none" w:sz="0" w:space="0" w:color="auto"/>
            <w:left w:val="none" w:sz="0" w:space="0" w:color="auto"/>
            <w:bottom w:val="none" w:sz="0" w:space="0" w:color="auto"/>
            <w:right w:val="none" w:sz="0" w:space="0" w:color="auto"/>
          </w:divBdr>
        </w:div>
        <w:div w:id="1797600977">
          <w:marLeft w:val="547"/>
          <w:marRight w:val="0"/>
          <w:marTop w:val="538"/>
          <w:marBottom w:val="0"/>
          <w:divBdr>
            <w:top w:val="none" w:sz="0" w:space="0" w:color="auto"/>
            <w:left w:val="none" w:sz="0" w:space="0" w:color="auto"/>
            <w:bottom w:val="none" w:sz="0" w:space="0" w:color="auto"/>
            <w:right w:val="none" w:sz="0" w:space="0" w:color="auto"/>
          </w:divBdr>
        </w:div>
      </w:divsChild>
    </w:div>
    <w:div w:id="160050008">
      <w:bodyDiv w:val="1"/>
      <w:marLeft w:val="0"/>
      <w:marRight w:val="0"/>
      <w:marTop w:val="0"/>
      <w:marBottom w:val="0"/>
      <w:divBdr>
        <w:top w:val="none" w:sz="0" w:space="0" w:color="auto"/>
        <w:left w:val="none" w:sz="0" w:space="0" w:color="auto"/>
        <w:bottom w:val="none" w:sz="0" w:space="0" w:color="auto"/>
        <w:right w:val="none" w:sz="0" w:space="0" w:color="auto"/>
      </w:divBdr>
      <w:divsChild>
        <w:div w:id="1214852963">
          <w:marLeft w:val="0"/>
          <w:marRight w:val="0"/>
          <w:marTop w:val="0"/>
          <w:marBottom w:val="0"/>
          <w:divBdr>
            <w:top w:val="none" w:sz="0" w:space="0" w:color="auto"/>
            <w:left w:val="none" w:sz="0" w:space="0" w:color="auto"/>
            <w:bottom w:val="none" w:sz="0" w:space="0" w:color="auto"/>
            <w:right w:val="none" w:sz="0" w:space="0" w:color="auto"/>
          </w:divBdr>
          <w:divsChild>
            <w:div w:id="36508760">
              <w:marLeft w:val="0"/>
              <w:marRight w:val="0"/>
              <w:marTop w:val="0"/>
              <w:marBottom w:val="0"/>
              <w:divBdr>
                <w:top w:val="none" w:sz="0" w:space="0" w:color="auto"/>
                <w:left w:val="none" w:sz="0" w:space="0" w:color="auto"/>
                <w:bottom w:val="none" w:sz="0" w:space="0" w:color="auto"/>
                <w:right w:val="none" w:sz="0" w:space="0" w:color="auto"/>
              </w:divBdr>
            </w:div>
            <w:div w:id="70272666">
              <w:marLeft w:val="0"/>
              <w:marRight w:val="0"/>
              <w:marTop w:val="0"/>
              <w:marBottom w:val="0"/>
              <w:divBdr>
                <w:top w:val="none" w:sz="0" w:space="0" w:color="auto"/>
                <w:left w:val="none" w:sz="0" w:space="0" w:color="auto"/>
                <w:bottom w:val="none" w:sz="0" w:space="0" w:color="auto"/>
                <w:right w:val="none" w:sz="0" w:space="0" w:color="auto"/>
              </w:divBdr>
            </w:div>
            <w:div w:id="249579428">
              <w:marLeft w:val="0"/>
              <w:marRight w:val="0"/>
              <w:marTop w:val="0"/>
              <w:marBottom w:val="0"/>
              <w:divBdr>
                <w:top w:val="none" w:sz="0" w:space="0" w:color="auto"/>
                <w:left w:val="none" w:sz="0" w:space="0" w:color="auto"/>
                <w:bottom w:val="none" w:sz="0" w:space="0" w:color="auto"/>
                <w:right w:val="none" w:sz="0" w:space="0" w:color="auto"/>
              </w:divBdr>
            </w:div>
            <w:div w:id="478573015">
              <w:marLeft w:val="0"/>
              <w:marRight w:val="0"/>
              <w:marTop w:val="0"/>
              <w:marBottom w:val="0"/>
              <w:divBdr>
                <w:top w:val="none" w:sz="0" w:space="0" w:color="auto"/>
                <w:left w:val="none" w:sz="0" w:space="0" w:color="auto"/>
                <w:bottom w:val="none" w:sz="0" w:space="0" w:color="auto"/>
                <w:right w:val="none" w:sz="0" w:space="0" w:color="auto"/>
              </w:divBdr>
            </w:div>
            <w:div w:id="1630819407">
              <w:marLeft w:val="0"/>
              <w:marRight w:val="0"/>
              <w:marTop w:val="0"/>
              <w:marBottom w:val="0"/>
              <w:divBdr>
                <w:top w:val="none" w:sz="0" w:space="0" w:color="auto"/>
                <w:left w:val="none" w:sz="0" w:space="0" w:color="auto"/>
                <w:bottom w:val="none" w:sz="0" w:space="0" w:color="auto"/>
                <w:right w:val="none" w:sz="0" w:space="0" w:color="auto"/>
              </w:divBdr>
            </w:div>
            <w:div w:id="1894809404">
              <w:marLeft w:val="0"/>
              <w:marRight w:val="0"/>
              <w:marTop w:val="0"/>
              <w:marBottom w:val="0"/>
              <w:divBdr>
                <w:top w:val="none" w:sz="0" w:space="0" w:color="auto"/>
                <w:left w:val="none" w:sz="0" w:space="0" w:color="auto"/>
                <w:bottom w:val="none" w:sz="0" w:space="0" w:color="auto"/>
                <w:right w:val="none" w:sz="0" w:space="0" w:color="auto"/>
              </w:divBdr>
            </w:div>
            <w:div w:id="1925066047">
              <w:marLeft w:val="0"/>
              <w:marRight w:val="0"/>
              <w:marTop w:val="0"/>
              <w:marBottom w:val="0"/>
              <w:divBdr>
                <w:top w:val="none" w:sz="0" w:space="0" w:color="auto"/>
                <w:left w:val="none" w:sz="0" w:space="0" w:color="auto"/>
                <w:bottom w:val="none" w:sz="0" w:space="0" w:color="auto"/>
                <w:right w:val="none" w:sz="0" w:space="0" w:color="auto"/>
              </w:divBdr>
            </w:div>
            <w:div w:id="1938949266">
              <w:marLeft w:val="0"/>
              <w:marRight w:val="0"/>
              <w:marTop w:val="0"/>
              <w:marBottom w:val="0"/>
              <w:divBdr>
                <w:top w:val="none" w:sz="0" w:space="0" w:color="auto"/>
                <w:left w:val="none" w:sz="0" w:space="0" w:color="auto"/>
                <w:bottom w:val="none" w:sz="0" w:space="0" w:color="auto"/>
                <w:right w:val="none" w:sz="0" w:space="0" w:color="auto"/>
              </w:divBdr>
            </w:div>
            <w:div w:id="20723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5064">
      <w:bodyDiv w:val="1"/>
      <w:marLeft w:val="0"/>
      <w:marRight w:val="0"/>
      <w:marTop w:val="0"/>
      <w:marBottom w:val="0"/>
      <w:divBdr>
        <w:top w:val="none" w:sz="0" w:space="0" w:color="auto"/>
        <w:left w:val="none" w:sz="0" w:space="0" w:color="auto"/>
        <w:bottom w:val="none" w:sz="0" w:space="0" w:color="auto"/>
        <w:right w:val="none" w:sz="0" w:space="0" w:color="auto"/>
      </w:divBdr>
      <w:divsChild>
        <w:div w:id="1170019330">
          <w:marLeft w:val="0"/>
          <w:marRight w:val="0"/>
          <w:marTop w:val="0"/>
          <w:marBottom w:val="0"/>
          <w:divBdr>
            <w:top w:val="none" w:sz="0" w:space="0" w:color="auto"/>
            <w:left w:val="none" w:sz="0" w:space="0" w:color="auto"/>
            <w:bottom w:val="none" w:sz="0" w:space="0" w:color="auto"/>
            <w:right w:val="none" w:sz="0" w:space="0" w:color="auto"/>
          </w:divBdr>
        </w:div>
      </w:divsChild>
    </w:div>
    <w:div w:id="252780481">
      <w:bodyDiv w:val="1"/>
      <w:marLeft w:val="0"/>
      <w:marRight w:val="0"/>
      <w:marTop w:val="0"/>
      <w:marBottom w:val="0"/>
      <w:divBdr>
        <w:top w:val="none" w:sz="0" w:space="0" w:color="auto"/>
        <w:left w:val="none" w:sz="0" w:space="0" w:color="auto"/>
        <w:bottom w:val="none" w:sz="0" w:space="0" w:color="auto"/>
        <w:right w:val="none" w:sz="0" w:space="0" w:color="auto"/>
      </w:divBdr>
      <w:divsChild>
        <w:div w:id="762995923">
          <w:marLeft w:val="0"/>
          <w:marRight w:val="0"/>
          <w:marTop w:val="0"/>
          <w:marBottom w:val="0"/>
          <w:divBdr>
            <w:top w:val="none" w:sz="0" w:space="0" w:color="auto"/>
            <w:left w:val="none" w:sz="0" w:space="0" w:color="auto"/>
            <w:bottom w:val="none" w:sz="0" w:space="0" w:color="auto"/>
            <w:right w:val="none" w:sz="0" w:space="0" w:color="auto"/>
          </w:divBdr>
        </w:div>
      </w:divsChild>
    </w:div>
    <w:div w:id="518857789">
      <w:bodyDiv w:val="1"/>
      <w:marLeft w:val="0"/>
      <w:marRight w:val="0"/>
      <w:marTop w:val="0"/>
      <w:marBottom w:val="0"/>
      <w:divBdr>
        <w:top w:val="none" w:sz="0" w:space="0" w:color="auto"/>
        <w:left w:val="none" w:sz="0" w:space="0" w:color="auto"/>
        <w:bottom w:val="none" w:sz="0" w:space="0" w:color="auto"/>
        <w:right w:val="none" w:sz="0" w:space="0" w:color="auto"/>
      </w:divBdr>
      <w:divsChild>
        <w:div w:id="1184783260">
          <w:marLeft w:val="0"/>
          <w:marRight w:val="0"/>
          <w:marTop w:val="0"/>
          <w:marBottom w:val="0"/>
          <w:divBdr>
            <w:top w:val="none" w:sz="0" w:space="0" w:color="auto"/>
            <w:left w:val="none" w:sz="0" w:space="0" w:color="auto"/>
            <w:bottom w:val="none" w:sz="0" w:space="0" w:color="auto"/>
            <w:right w:val="none" w:sz="0" w:space="0" w:color="auto"/>
          </w:divBdr>
          <w:divsChild>
            <w:div w:id="16883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3466">
      <w:bodyDiv w:val="1"/>
      <w:marLeft w:val="0"/>
      <w:marRight w:val="0"/>
      <w:marTop w:val="0"/>
      <w:marBottom w:val="0"/>
      <w:divBdr>
        <w:top w:val="none" w:sz="0" w:space="0" w:color="auto"/>
        <w:left w:val="none" w:sz="0" w:space="0" w:color="auto"/>
        <w:bottom w:val="none" w:sz="0" w:space="0" w:color="auto"/>
        <w:right w:val="none" w:sz="0" w:space="0" w:color="auto"/>
      </w:divBdr>
    </w:div>
    <w:div w:id="536817733">
      <w:bodyDiv w:val="1"/>
      <w:marLeft w:val="0"/>
      <w:marRight w:val="0"/>
      <w:marTop w:val="0"/>
      <w:marBottom w:val="0"/>
      <w:divBdr>
        <w:top w:val="none" w:sz="0" w:space="0" w:color="auto"/>
        <w:left w:val="none" w:sz="0" w:space="0" w:color="auto"/>
        <w:bottom w:val="none" w:sz="0" w:space="0" w:color="auto"/>
        <w:right w:val="none" w:sz="0" w:space="0" w:color="auto"/>
      </w:divBdr>
      <w:divsChild>
        <w:div w:id="25525067">
          <w:marLeft w:val="547"/>
          <w:marRight w:val="0"/>
          <w:marTop w:val="163"/>
          <w:marBottom w:val="0"/>
          <w:divBdr>
            <w:top w:val="none" w:sz="0" w:space="0" w:color="auto"/>
            <w:left w:val="none" w:sz="0" w:space="0" w:color="auto"/>
            <w:bottom w:val="none" w:sz="0" w:space="0" w:color="auto"/>
            <w:right w:val="none" w:sz="0" w:space="0" w:color="auto"/>
          </w:divBdr>
        </w:div>
        <w:div w:id="158279509">
          <w:marLeft w:val="547"/>
          <w:marRight w:val="0"/>
          <w:marTop w:val="163"/>
          <w:marBottom w:val="0"/>
          <w:divBdr>
            <w:top w:val="none" w:sz="0" w:space="0" w:color="auto"/>
            <w:left w:val="none" w:sz="0" w:space="0" w:color="auto"/>
            <w:bottom w:val="none" w:sz="0" w:space="0" w:color="auto"/>
            <w:right w:val="none" w:sz="0" w:space="0" w:color="auto"/>
          </w:divBdr>
        </w:div>
        <w:div w:id="324935987">
          <w:marLeft w:val="547"/>
          <w:marRight w:val="0"/>
          <w:marTop w:val="163"/>
          <w:marBottom w:val="0"/>
          <w:divBdr>
            <w:top w:val="none" w:sz="0" w:space="0" w:color="auto"/>
            <w:left w:val="none" w:sz="0" w:space="0" w:color="auto"/>
            <w:bottom w:val="none" w:sz="0" w:space="0" w:color="auto"/>
            <w:right w:val="none" w:sz="0" w:space="0" w:color="auto"/>
          </w:divBdr>
        </w:div>
        <w:div w:id="378165542">
          <w:marLeft w:val="547"/>
          <w:marRight w:val="0"/>
          <w:marTop w:val="163"/>
          <w:marBottom w:val="0"/>
          <w:divBdr>
            <w:top w:val="none" w:sz="0" w:space="0" w:color="auto"/>
            <w:left w:val="none" w:sz="0" w:space="0" w:color="auto"/>
            <w:bottom w:val="none" w:sz="0" w:space="0" w:color="auto"/>
            <w:right w:val="none" w:sz="0" w:space="0" w:color="auto"/>
          </w:divBdr>
        </w:div>
        <w:div w:id="867984632">
          <w:marLeft w:val="547"/>
          <w:marRight w:val="0"/>
          <w:marTop w:val="163"/>
          <w:marBottom w:val="0"/>
          <w:divBdr>
            <w:top w:val="none" w:sz="0" w:space="0" w:color="auto"/>
            <w:left w:val="none" w:sz="0" w:space="0" w:color="auto"/>
            <w:bottom w:val="none" w:sz="0" w:space="0" w:color="auto"/>
            <w:right w:val="none" w:sz="0" w:space="0" w:color="auto"/>
          </w:divBdr>
        </w:div>
        <w:div w:id="1684355922">
          <w:marLeft w:val="547"/>
          <w:marRight w:val="0"/>
          <w:marTop w:val="163"/>
          <w:marBottom w:val="0"/>
          <w:divBdr>
            <w:top w:val="none" w:sz="0" w:space="0" w:color="auto"/>
            <w:left w:val="none" w:sz="0" w:space="0" w:color="auto"/>
            <w:bottom w:val="none" w:sz="0" w:space="0" w:color="auto"/>
            <w:right w:val="none" w:sz="0" w:space="0" w:color="auto"/>
          </w:divBdr>
        </w:div>
      </w:divsChild>
    </w:div>
    <w:div w:id="646011207">
      <w:bodyDiv w:val="1"/>
      <w:marLeft w:val="0"/>
      <w:marRight w:val="0"/>
      <w:marTop w:val="0"/>
      <w:marBottom w:val="0"/>
      <w:divBdr>
        <w:top w:val="none" w:sz="0" w:space="0" w:color="auto"/>
        <w:left w:val="none" w:sz="0" w:space="0" w:color="auto"/>
        <w:bottom w:val="none" w:sz="0" w:space="0" w:color="auto"/>
        <w:right w:val="none" w:sz="0" w:space="0" w:color="auto"/>
      </w:divBdr>
    </w:div>
    <w:div w:id="941911199">
      <w:bodyDiv w:val="1"/>
      <w:marLeft w:val="0"/>
      <w:marRight w:val="0"/>
      <w:marTop w:val="0"/>
      <w:marBottom w:val="0"/>
      <w:divBdr>
        <w:top w:val="none" w:sz="0" w:space="0" w:color="auto"/>
        <w:left w:val="none" w:sz="0" w:space="0" w:color="auto"/>
        <w:bottom w:val="none" w:sz="0" w:space="0" w:color="auto"/>
        <w:right w:val="none" w:sz="0" w:space="0" w:color="auto"/>
      </w:divBdr>
      <w:divsChild>
        <w:div w:id="1887713355">
          <w:marLeft w:val="547"/>
          <w:marRight w:val="0"/>
          <w:marTop w:val="375"/>
          <w:marBottom w:val="0"/>
          <w:divBdr>
            <w:top w:val="none" w:sz="0" w:space="0" w:color="auto"/>
            <w:left w:val="none" w:sz="0" w:space="0" w:color="auto"/>
            <w:bottom w:val="none" w:sz="0" w:space="0" w:color="auto"/>
            <w:right w:val="none" w:sz="0" w:space="0" w:color="auto"/>
          </w:divBdr>
        </w:div>
        <w:div w:id="1962954330">
          <w:marLeft w:val="547"/>
          <w:marRight w:val="0"/>
          <w:marTop w:val="375"/>
          <w:marBottom w:val="0"/>
          <w:divBdr>
            <w:top w:val="none" w:sz="0" w:space="0" w:color="auto"/>
            <w:left w:val="none" w:sz="0" w:space="0" w:color="auto"/>
            <w:bottom w:val="none" w:sz="0" w:space="0" w:color="auto"/>
            <w:right w:val="none" w:sz="0" w:space="0" w:color="auto"/>
          </w:divBdr>
        </w:div>
      </w:divsChild>
    </w:div>
    <w:div w:id="1007827102">
      <w:bodyDiv w:val="1"/>
      <w:marLeft w:val="0"/>
      <w:marRight w:val="0"/>
      <w:marTop w:val="0"/>
      <w:marBottom w:val="0"/>
      <w:divBdr>
        <w:top w:val="none" w:sz="0" w:space="0" w:color="auto"/>
        <w:left w:val="none" w:sz="0" w:space="0" w:color="auto"/>
        <w:bottom w:val="none" w:sz="0" w:space="0" w:color="auto"/>
        <w:right w:val="none" w:sz="0" w:space="0" w:color="auto"/>
      </w:divBdr>
    </w:div>
    <w:div w:id="1108432232">
      <w:bodyDiv w:val="1"/>
      <w:marLeft w:val="0"/>
      <w:marRight w:val="0"/>
      <w:marTop w:val="0"/>
      <w:marBottom w:val="0"/>
      <w:divBdr>
        <w:top w:val="none" w:sz="0" w:space="0" w:color="auto"/>
        <w:left w:val="none" w:sz="0" w:space="0" w:color="auto"/>
        <w:bottom w:val="none" w:sz="0" w:space="0" w:color="auto"/>
        <w:right w:val="none" w:sz="0" w:space="0" w:color="auto"/>
      </w:divBdr>
    </w:div>
    <w:div w:id="1231379113">
      <w:bodyDiv w:val="1"/>
      <w:marLeft w:val="0"/>
      <w:marRight w:val="0"/>
      <w:marTop w:val="0"/>
      <w:marBottom w:val="0"/>
      <w:divBdr>
        <w:top w:val="none" w:sz="0" w:space="0" w:color="auto"/>
        <w:left w:val="none" w:sz="0" w:space="0" w:color="auto"/>
        <w:bottom w:val="none" w:sz="0" w:space="0" w:color="auto"/>
        <w:right w:val="none" w:sz="0" w:space="0" w:color="auto"/>
      </w:divBdr>
      <w:divsChild>
        <w:div w:id="608314456">
          <w:marLeft w:val="0"/>
          <w:marRight w:val="0"/>
          <w:marTop w:val="0"/>
          <w:marBottom w:val="0"/>
          <w:divBdr>
            <w:top w:val="none" w:sz="0" w:space="0" w:color="auto"/>
            <w:left w:val="none" w:sz="0" w:space="0" w:color="auto"/>
            <w:bottom w:val="none" w:sz="0" w:space="0" w:color="auto"/>
            <w:right w:val="none" w:sz="0" w:space="0" w:color="auto"/>
          </w:divBdr>
        </w:div>
      </w:divsChild>
    </w:div>
    <w:div w:id="1253054272">
      <w:bodyDiv w:val="1"/>
      <w:marLeft w:val="0"/>
      <w:marRight w:val="0"/>
      <w:marTop w:val="0"/>
      <w:marBottom w:val="0"/>
      <w:divBdr>
        <w:top w:val="none" w:sz="0" w:space="0" w:color="auto"/>
        <w:left w:val="none" w:sz="0" w:space="0" w:color="auto"/>
        <w:bottom w:val="none" w:sz="0" w:space="0" w:color="auto"/>
        <w:right w:val="none" w:sz="0" w:space="0" w:color="auto"/>
      </w:divBdr>
      <w:divsChild>
        <w:div w:id="1239100878">
          <w:marLeft w:val="0"/>
          <w:marRight w:val="0"/>
          <w:marTop w:val="0"/>
          <w:marBottom w:val="0"/>
          <w:divBdr>
            <w:top w:val="none" w:sz="0" w:space="0" w:color="auto"/>
            <w:left w:val="none" w:sz="0" w:space="0" w:color="auto"/>
            <w:bottom w:val="none" w:sz="0" w:space="0" w:color="auto"/>
            <w:right w:val="none" w:sz="0" w:space="0" w:color="auto"/>
          </w:divBdr>
          <w:divsChild>
            <w:div w:id="374739537">
              <w:marLeft w:val="0"/>
              <w:marRight w:val="0"/>
              <w:marTop w:val="0"/>
              <w:marBottom w:val="0"/>
              <w:divBdr>
                <w:top w:val="none" w:sz="0" w:space="0" w:color="auto"/>
                <w:left w:val="none" w:sz="0" w:space="0" w:color="auto"/>
                <w:bottom w:val="none" w:sz="0" w:space="0" w:color="auto"/>
                <w:right w:val="none" w:sz="0" w:space="0" w:color="auto"/>
              </w:divBdr>
            </w:div>
            <w:div w:id="447087613">
              <w:marLeft w:val="0"/>
              <w:marRight w:val="0"/>
              <w:marTop w:val="0"/>
              <w:marBottom w:val="0"/>
              <w:divBdr>
                <w:top w:val="none" w:sz="0" w:space="0" w:color="auto"/>
                <w:left w:val="none" w:sz="0" w:space="0" w:color="auto"/>
                <w:bottom w:val="none" w:sz="0" w:space="0" w:color="auto"/>
                <w:right w:val="none" w:sz="0" w:space="0" w:color="auto"/>
              </w:divBdr>
            </w:div>
            <w:div w:id="768888118">
              <w:marLeft w:val="0"/>
              <w:marRight w:val="0"/>
              <w:marTop w:val="0"/>
              <w:marBottom w:val="0"/>
              <w:divBdr>
                <w:top w:val="none" w:sz="0" w:space="0" w:color="auto"/>
                <w:left w:val="none" w:sz="0" w:space="0" w:color="auto"/>
                <w:bottom w:val="none" w:sz="0" w:space="0" w:color="auto"/>
                <w:right w:val="none" w:sz="0" w:space="0" w:color="auto"/>
              </w:divBdr>
            </w:div>
            <w:div w:id="807742051">
              <w:marLeft w:val="0"/>
              <w:marRight w:val="0"/>
              <w:marTop w:val="0"/>
              <w:marBottom w:val="0"/>
              <w:divBdr>
                <w:top w:val="none" w:sz="0" w:space="0" w:color="auto"/>
                <w:left w:val="none" w:sz="0" w:space="0" w:color="auto"/>
                <w:bottom w:val="none" w:sz="0" w:space="0" w:color="auto"/>
                <w:right w:val="none" w:sz="0" w:space="0" w:color="auto"/>
              </w:divBdr>
            </w:div>
            <w:div w:id="10200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6547">
      <w:bodyDiv w:val="1"/>
      <w:marLeft w:val="0"/>
      <w:marRight w:val="0"/>
      <w:marTop w:val="0"/>
      <w:marBottom w:val="0"/>
      <w:divBdr>
        <w:top w:val="none" w:sz="0" w:space="0" w:color="auto"/>
        <w:left w:val="none" w:sz="0" w:space="0" w:color="auto"/>
        <w:bottom w:val="none" w:sz="0" w:space="0" w:color="auto"/>
        <w:right w:val="none" w:sz="0" w:space="0" w:color="auto"/>
      </w:divBdr>
      <w:divsChild>
        <w:div w:id="540435399">
          <w:marLeft w:val="0"/>
          <w:marRight w:val="0"/>
          <w:marTop w:val="0"/>
          <w:marBottom w:val="0"/>
          <w:divBdr>
            <w:top w:val="none" w:sz="0" w:space="0" w:color="auto"/>
            <w:left w:val="none" w:sz="0" w:space="0" w:color="auto"/>
            <w:bottom w:val="none" w:sz="0" w:space="0" w:color="auto"/>
            <w:right w:val="none" w:sz="0" w:space="0" w:color="auto"/>
          </w:divBdr>
          <w:divsChild>
            <w:div w:id="208494361">
              <w:marLeft w:val="0"/>
              <w:marRight w:val="0"/>
              <w:marTop w:val="0"/>
              <w:marBottom w:val="0"/>
              <w:divBdr>
                <w:top w:val="none" w:sz="0" w:space="0" w:color="auto"/>
                <w:left w:val="none" w:sz="0" w:space="0" w:color="auto"/>
                <w:bottom w:val="none" w:sz="0" w:space="0" w:color="auto"/>
                <w:right w:val="none" w:sz="0" w:space="0" w:color="auto"/>
              </w:divBdr>
            </w:div>
            <w:div w:id="805006992">
              <w:marLeft w:val="0"/>
              <w:marRight w:val="0"/>
              <w:marTop w:val="0"/>
              <w:marBottom w:val="0"/>
              <w:divBdr>
                <w:top w:val="none" w:sz="0" w:space="0" w:color="auto"/>
                <w:left w:val="none" w:sz="0" w:space="0" w:color="auto"/>
                <w:bottom w:val="none" w:sz="0" w:space="0" w:color="auto"/>
                <w:right w:val="none" w:sz="0" w:space="0" w:color="auto"/>
              </w:divBdr>
            </w:div>
            <w:div w:id="815413776">
              <w:marLeft w:val="0"/>
              <w:marRight w:val="0"/>
              <w:marTop w:val="0"/>
              <w:marBottom w:val="0"/>
              <w:divBdr>
                <w:top w:val="none" w:sz="0" w:space="0" w:color="auto"/>
                <w:left w:val="none" w:sz="0" w:space="0" w:color="auto"/>
                <w:bottom w:val="none" w:sz="0" w:space="0" w:color="auto"/>
                <w:right w:val="none" w:sz="0" w:space="0" w:color="auto"/>
              </w:divBdr>
            </w:div>
            <w:div w:id="1464730400">
              <w:marLeft w:val="0"/>
              <w:marRight w:val="0"/>
              <w:marTop w:val="0"/>
              <w:marBottom w:val="0"/>
              <w:divBdr>
                <w:top w:val="none" w:sz="0" w:space="0" w:color="auto"/>
                <w:left w:val="none" w:sz="0" w:space="0" w:color="auto"/>
                <w:bottom w:val="none" w:sz="0" w:space="0" w:color="auto"/>
                <w:right w:val="none" w:sz="0" w:space="0" w:color="auto"/>
              </w:divBdr>
            </w:div>
            <w:div w:id="20311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5923">
      <w:bodyDiv w:val="1"/>
      <w:marLeft w:val="0"/>
      <w:marRight w:val="0"/>
      <w:marTop w:val="0"/>
      <w:marBottom w:val="0"/>
      <w:divBdr>
        <w:top w:val="none" w:sz="0" w:space="0" w:color="auto"/>
        <w:left w:val="none" w:sz="0" w:space="0" w:color="auto"/>
        <w:bottom w:val="none" w:sz="0" w:space="0" w:color="auto"/>
        <w:right w:val="none" w:sz="0" w:space="0" w:color="auto"/>
      </w:divBdr>
      <w:divsChild>
        <w:div w:id="1207909089">
          <w:marLeft w:val="0"/>
          <w:marRight w:val="0"/>
          <w:marTop w:val="0"/>
          <w:marBottom w:val="0"/>
          <w:divBdr>
            <w:top w:val="none" w:sz="0" w:space="0" w:color="auto"/>
            <w:left w:val="none" w:sz="0" w:space="0" w:color="auto"/>
            <w:bottom w:val="none" w:sz="0" w:space="0" w:color="auto"/>
            <w:right w:val="none" w:sz="0" w:space="0" w:color="auto"/>
          </w:divBdr>
          <w:divsChild>
            <w:div w:id="737676851">
              <w:marLeft w:val="0"/>
              <w:marRight w:val="0"/>
              <w:marTop w:val="0"/>
              <w:marBottom w:val="0"/>
              <w:divBdr>
                <w:top w:val="none" w:sz="0" w:space="0" w:color="auto"/>
                <w:left w:val="none" w:sz="0" w:space="0" w:color="auto"/>
                <w:bottom w:val="none" w:sz="0" w:space="0" w:color="auto"/>
                <w:right w:val="none" w:sz="0" w:space="0" w:color="auto"/>
              </w:divBdr>
            </w:div>
            <w:div w:id="1242519293">
              <w:marLeft w:val="0"/>
              <w:marRight w:val="0"/>
              <w:marTop w:val="0"/>
              <w:marBottom w:val="0"/>
              <w:divBdr>
                <w:top w:val="none" w:sz="0" w:space="0" w:color="auto"/>
                <w:left w:val="none" w:sz="0" w:space="0" w:color="auto"/>
                <w:bottom w:val="none" w:sz="0" w:space="0" w:color="auto"/>
                <w:right w:val="none" w:sz="0" w:space="0" w:color="auto"/>
              </w:divBdr>
            </w:div>
            <w:div w:id="19001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80283">
      <w:bodyDiv w:val="1"/>
      <w:marLeft w:val="0"/>
      <w:marRight w:val="0"/>
      <w:marTop w:val="0"/>
      <w:marBottom w:val="0"/>
      <w:divBdr>
        <w:top w:val="none" w:sz="0" w:space="0" w:color="auto"/>
        <w:left w:val="none" w:sz="0" w:space="0" w:color="auto"/>
        <w:bottom w:val="none" w:sz="0" w:space="0" w:color="auto"/>
        <w:right w:val="none" w:sz="0" w:space="0" w:color="auto"/>
      </w:divBdr>
      <w:divsChild>
        <w:div w:id="593441932">
          <w:marLeft w:val="0"/>
          <w:marRight w:val="0"/>
          <w:marTop w:val="0"/>
          <w:marBottom w:val="0"/>
          <w:divBdr>
            <w:top w:val="none" w:sz="0" w:space="0" w:color="auto"/>
            <w:left w:val="none" w:sz="0" w:space="0" w:color="auto"/>
            <w:bottom w:val="none" w:sz="0" w:space="0" w:color="auto"/>
            <w:right w:val="none" w:sz="0" w:space="0" w:color="auto"/>
          </w:divBdr>
          <w:divsChild>
            <w:div w:id="40137195">
              <w:marLeft w:val="0"/>
              <w:marRight w:val="0"/>
              <w:marTop w:val="0"/>
              <w:marBottom w:val="0"/>
              <w:divBdr>
                <w:top w:val="none" w:sz="0" w:space="0" w:color="auto"/>
                <w:left w:val="none" w:sz="0" w:space="0" w:color="auto"/>
                <w:bottom w:val="none" w:sz="0" w:space="0" w:color="auto"/>
                <w:right w:val="none" w:sz="0" w:space="0" w:color="auto"/>
              </w:divBdr>
            </w:div>
            <w:div w:id="869562913">
              <w:marLeft w:val="0"/>
              <w:marRight w:val="0"/>
              <w:marTop w:val="0"/>
              <w:marBottom w:val="0"/>
              <w:divBdr>
                <w:top w:val="none" w:sz="0" w:space="0" w:color="auto"/>
                <w:left w:val="none" w:sz="0" w:space="0" w:color="auto"/>
                <w:bottom w:val="none" w:sz="0" w:space="0" w:color="auto"/>
                <w:right w:val="none" w:sz="0" w:space="0" w:color="auto"/>
              </w:divBdr>
            </w:div>
            <w:div w:id="1634556338">
              <w:marLeft w:val="0"/>
              <w:marRight w:val="0"/>
              <w:marTop w:val="0"/>
              <w:marBottom w:val="0"/>
              <w:divBdr>
                <w:top w:val="none" w:sz="0" w:space="0" w:color="auto"/>
                <w:left w:val="none" w:sz="0" w:space="0" w:color="auto"/>
                <w:bottom w:val="none" w:sz="0" w:space="0" w:color="auto"/>
                <w:right w:val="none" w:sz="0" w:space="0" w:color="auto"/>
              </w:divBdr>
            </w:div>
            <w:div w:id="16953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1405">
      <w:bodyDiv w:val="1"/>
      <w:marLeft w:val="0"/>
      <w:marRight w:val="0"/>
      <w:marTop w:val="0"/>
      <w:marBottom w:val="0"/>
      <w:divBdr>
        <w:top w:val="none" w:sz="0" w:space="0" w:color="auto"/>
        <w:left w:val="none" w:sz="0" w:space="0" w:color="auto"/>
        <w:bottom w:val="none" w:sz="0" w:space="0" w:color="auto"/>
        <w:right w:val="none" w:sz="0" w:space="0" w:color="auto"/>
      </w:divBdr>
    </w:div>
    <w:div w:id="1937714778">
      <w:bodyDiv w:val="1"/>
      <w:marLeft w:val="0"/>
      <w:marRight w:val="0"/>
      <w:marTop w:val="0"/>
      <w:marBottom w:val="0"/>
      <w:divBdr>
        <w:top w:val="none" w:sz="0" w:space="0" w:color="auto"/>
        <w:left w:val="none" w:sz="0" w:space="0" w:color="auto"/>
        <w:bottom w:val="none" w:sz="0" w:space="0" w:color="auto"/>
        <w:right w:val="none" w:sz="0" w:space="0" w:color="auto"/>
      </w:divBdr>
      <w:divsChild>
        <w:div w:id="200674201">
          <w:marLeft w:val="0"/>
          <w:marRight w:val="0"/>
          <w:marTop w:val="0"/>
          <w:marBottom w:val="0"/>
          <w:divBdr>
            <w:top w:val="none" w:sz="0" w:space="0" w:color="auto"/>
            <w:left w:val="none" w:sz="0" w:space="0" w:color="auto"/>
            <w:bottom w:val="none" w:sz="0" w:space="0" w:color="auto"/>
            <w:right w:val="none" w:sz="0" w:space="0" w:color="auto"/>
          </w:divBdr>
        </w:div>
      </w:divsChild>
    </w:div>
    <w:div w:id="2024353772">
      <w:bodyDiv w:val="1"/>
      <w:marLeft w:val="0"/>
      <w:marRight w:val="0"/>
      <w:marTop w:val="0"/>
      <w:marBottom w:val="0"/>
      <w:divBdr>
        <w:top w:val="none" w:sz="0" w:space="0" w:color="auto"/>
        <w:left w:val="none" w:sz="0" w:space="0" w:color="auto"/>
        <w:bottom w:val="none" w:sz="0" w:space="0" w:color="auto"/>
        <w:right w:val="none" w:sz="0" w:space="0" w:color="auto"/>
      </w:divBdr>
      <w:divsChild>
        <w:div w:id="622738259">
          <w:marLeft w:val="0"/>
          <w:marRight w:val="0"/>
          <w:marTop w:val="0"/>
          <w:marBottom w:val="0"/>
          <w:divBdr>
            <w:top w:val="none" w:sz="0" w:space="0" w:color="auto"/>
            <w:left w:val="none" w:sz="0" w:space="0" w:color="auto"/>
            <w:bottom w:val="none" w:sz="0" w:space="0" w:color="auto"/>
            <w:right w:val="none" w:sz="0" w:space="0" w:color="auto"/>
          </w:divBdr>
        </w:div>
        <w:div w:id="1324432181">
          <w:marLeft w:val="0"/>
          <w:marRight w:val="0"/>
          <w:marTop w:val="0"/>
          <w:marBottom w:val="60"/>
          <w:divBdr>
            <w:top w:val="none" w:sz="0" w:space="0" w:color="auto"/>
            <w:left w:val="none" w:sz="0" w:space="0" w:color="auto"/>
            <w:bottom w:val="none" w:sz="0" w:space="0" w:color="auto"/>
            <w:right w:val="none" w:sz="0" w:space="0" w:color="auto"/>
          </w:divBdr>
        </w:div>
        <w:div w:id="1585727184">
          <w:marLeft w:val="0"/>
          <w:marRight w:val="0"/>
          <w:marTop w:val="0"/>
          <w:marBottom w:val="0"/>
          <w:divBdr>
            <w:top w:val="none" w:sz="0" w:space="0" w:color="auto"/>
            <w:left w:val="none" w:sz="0" w:space="0" w:color="auto"/>
            <w:bottom w:val="none" w:sz="0" w:space="0" w:color="auto"/>
            <w:right w:val="none" w:sz="0" w:space="0" w:color="auto"/>
          </w:divBdr>
          <w:divsChild>
            <w:div w:id="323290230">
              <w:marLeft w:val="0"/>
              <w:marRight w:val="135"/>
              <w:marTop w:val="30"/>
              <w:marBottom w:val="0"/>
              <w:divBdr>
                <w:top w:val="none" w:sz="0" w:space="0" w:color="auto"/>
                <w:left w:val="none" w:sz="0" w:space="0" w:color="auto"/>
                <w:bottom w:val="none" w:sz="0" w:space="0" w:color="auto"/>
                <w:right w:val="none" w:sz="0" w:space="0" w:color="auto"/>
              </w:divBdr>
            </w:div>
            <w:div w:id="335884899">
              <w:marLeft w:val="0"/>
              <w:marRight w:val="135"/>
              <w:marTop w:val="30"/>
              <w:marBottom w:val="0"/>
              <w:divBdr>
                <w:top w:val="none" w:sz="0" w:space="0" w:color="auto"/>
                <w:left w:val="none" w:sz="0" w:space="0" w:color="auto"/>
                <w:bottom w:val="none" w:sz="0" w:space="0" w:color="auto"/>
                <w:right w:val="none" w:sz="0" w:space="0" w:color="auto"/>
              </w:divBdr>
            </w:div>
            <w:div w:id="437257740">
              <w:marLeft w:val="0"/>
              <w:marRight w:val="0"/>
              <w:marTop w:val="0"/>
              <w:marBottom w:val="0"/>
              <w:divBdr>
                <w:top w:val="none" w:sz="0" w:space="0" w:color="auto"/>
                <w:left w:val="none" w:sz="0" w:space="0" w:color="auto"/>
                <w:bottom w:val="none" w:sz="0" w:space="0" w:color="auto"/>
                <w:right w:val="none" w:sz="0" w:space="0" w:color="auto"/>
              </w:divBdr>
              <w:divsChild>
                <w:div w:id="94133632">
                  <w:marLeft w:val="0"/>
                  <w:marRight w:val="0"/>
                  <w:marTop w:val="0"/>
                  <w:marBottom w:val="0"/>
                  <w:divBdr>
                    <w:top w:val="none" w:sz="0" w:space="0" w:color="auto"/>
                    <w:left w:val="none" w:sz="0" w:space="0" w:color="auto"/>
                    <w:bottom w:val="none" w:sz="0" w:space="0" w:color="auto"/>
                    <w:right w:val="none" w:sz="0" w:space="0" w:color="auto"/>
                  </w:divBdr>
                  <w:divsChild>
                    <w:div w:id="85924540">
                      <w:marLeft w:val="225"/>
                      <w:marRight w:val="0"/>
                      <w:marTop w:val="180"/>
                      <w:marBottom w:val="0"/>
                      <w:divBdr>
                        <w:top w:val="none" w:sz="0" w:space="0" w:color="auto"/>
                        <w:left w:val="none" w:sz="0" w:space="0" w:color="auto"/>
                        <w:bottom w:val="none" w:sz="0" w:space="0" w:color="auto"/>
                        <w:right w:val="none" w:sz="0" w:space="0" w:color="auto"/>
                      </w:divBdr>
                    </w:div>
                    <w:div w:id="728965494">
                      <w:marLeft w:val="15"/>
                      <w:marRight w:val="0"/>
                      <w:marTop w:val="0"/>
                      <w:marBottom w:val="0"/>
                      <w:divBdr>
                        <w:top w:val="none" w:sz="0" w:space="0" w:color="auto"/>
                        <w:left w:val="none" w:sz="0" w:space="0" w:color="auto"/>
                        <w:bottom w:val="none" w:sz="0" w:space="0" w:color="auto"/>
                        <w:right w:val="none" w:sz="0" w:space="0" w:color="auto"/>
                      </w:divBdr>
                    </w:div>
                    <w:div w:id="781848263">
                      <w:marLeft w:val="405"/>
                      <w:marRight w:val="0"/>
                      <w:marTop w:val="180"/>
                      <w:marBottom w:val="0"/>
                      <w:divBdr>
                        <w:top w:val="none" w:sz="0" w:space="0" w:color="auto"/>
                        <w:left w:val="none" w:sz="0" w:space="0" w:color="auto"/>
                        <w:bottom w:val="none" w:sz="0" w:space="0" w:color="auto"/>
                        <w:right w:val="none" w:sz="0" w:space="0" w:color="auto"/>
                      </w:divBdr>
                    </w:div>
                    <w:div w:id="18359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8392">
              <w:marLeft w:val="0"/>
              <w:marRight w:val="0"/>
              <w:marTop w:val="0"/>
              <w:marBottom w:val="0"/>
              <w:divBdr>
                <w:top w:val="none" w:sz="0" w:space="0" w:color="auto"/>
                <w:left w:val="none" w:sz="0" w:space="0" w:color="auto"/>
                <w:bottom w:val="none" w:sz="0" w:space="0" w:color="auto"/>
                <w:right w:val="none" w:sz="0" w:space="0" w:color="auto"/>
              </w:divBdr>
              <w:divsChild>
                <w:div w:id="1471440601">
                  <w:marLeft w:val="0"/>
                  <w:marRight w:val="0"/>
                  <w:marTop w:val="0"/>
                  <w:marBottom w:val="0"/>
                  <w:divBdr>
                    <w:top w:val="none" w:sz="0" w:space="0" w:color="auto"/>
                    <w:left w:val="none" w:sz="0" w:space="0" w:color="auto"/>
                    <w:bottom w:val="none" w:sz="0" w:space="0" w:color="auto"/>
                    <w:right w:val="none" w:sz="0" w:space="0" w:color="auto"/>
                  </w:divBdr>
                  <w:divsChild>
                    <w:div w:id="1256596318">
                      <w:marLeft w:val="225"/>
                      <w:marRight w:val="0"/>
                      <w:marTop w:val="180"/>
                      <w:marBottom w:val="0"/>
                      <w:divBdr>
                        <w:top w:val="none" w:sz="0" w:space="0" w:color="auto"/>
                        <w:left w:val="none" w:sz="0" w:space="0" w:color="auto"/>
                        <w:bottom w:val="none" w:sz="0" w:space="0" w:color="auto"/>
                        <w:right w:val="none" w:sz="0" w:space="0" w:color="auto"/>
                      </w:divBdr>
                    </w:div>
                    <w:div w:id="1818372492">
                      <w:marLeft w:val="15"/>
                      <w:marRight w:val="0"/>
                      <w:marTop w:val="0"/>
                      <w:marBottom w:val="0"/>
                      <w:divBdr>
                        <w:top w:val="none" w:sz="0" w:space="0" w:color="auto"/>
                        <w:left w:val="none" w:sz="0" w:space="0" w:color="auto"/>
                        <w:bottom w:val="none" w:sz="0" w:space="0" w:color="auto"/>
                        <w:right w:val="none" w:sz="0" w:space="0" w:color="auto"/>
                      </w:divBdr>
                    </w:div>
                    <w:div w:id="2063286443">
                      <w:marLeft w:val="405"/>
                      <w:marRight w:val="0"/>
                      <w:marTop w:val="180"/>
                      <w:marBottom w:val="0"/>
                      <w:divBdr>
                        <w:top w:val="none" w:sz="0" w:space="0" w:color="auto"/>
                        <w:left w:val="none" w:sz="0" w:space="0" w:color="auto"/>
                        <w:bottom w:val="none" w:sz="0" w:space="0" w:color="auto"/>
                        <w:right w:val="none" w:sz="0" w:space="0" w:color="auto"/>
                      </w:divBdr>
                    </w:div>
                    <w:div w:id="21281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6411">
              <w:marLeft w:val="0"/>
              <w:marRight w:val="135"/>
              <w:marTop w:val="30"/>
              <w:marBottom w:val="0"/>
              <w:divBdr>
                <w:top w:val="none" w:sz="0" w:space="0" w:color="auto"/>
                <w:left w:val="none" w:sz="0" w:space="0" w:color="auto"/>
                <w:bottom w:val="none" w:sz="0" w:space="0" w:color="auto"/>
                <w:right w:val="none" w:sz="0" w:space="0" w:color="auto"/>
              </w:divBdr>
            </w:div>
            <w:div w:id="1008093532">
              <w:marLeft w:val="0"/>
              <w:marRight w:val="0"/>
              <w:marTop w:val="0"/>
              <w:marBottom w:val="0"/>
              <w:divBdr>
                <w:top w:val="none" w:sz="0" w:space="0" w:color="auto"/>
                <w:left w:val="none" w:sz="0" w:space="0" w:color="auto"/>
                <w:bottom w:val="none" w:sz="0" w:space="0" w:color="auto"/>
                <w:right w:val="none" w:sz="0" w:space="0" w:color="auto"/>
              </w:divBdr>
              <w:divsChild>
                <w:div w:id="1533106047">
                  <w:marLeft w:val="0"/>
                  <w:marRight w:val="0"/>
                  <w:marTop w:val="0"/>
                  <w:marBottom w:val="0"/>
                  <w:divBdr>
                    <w:top w:val="none" w:sz="0" w:space="0" w:color="auto"/>
                    <w:left w:val="none" w:sz="0" w:space="0" w:color="auto"/>
                    <w:bottom w:val="none" w:sz="0" w:space="0" w:color="auto"/>
                    <w:right w:val="none" w:sz="0" w:space="0" w:color="auto"/>
                  </w:divBdr>
                  <w:divsChild>
                    <w:div w:id="195699098">
                      <w:marLeft w:val="15"/>
                      <w:marRight w:val="0"/>
                      <w:marTop w:val="0"/>
                      <w:marBottom w:val="0"/>
                      <w:divBdr>
                        <w:top w:val="none" w:sz="0" w:space="0" w:color="auto"/>
                        <w:left w:val="none" w:sz="0" w:space="0" w:color="auto"/>
                        <w:bottom w:val="none" w:sz="0" w:space="0" w:color="auto"/>
                        <w:right w:val="none" w:sz="0" w:space="0" w:color="auto"/>
                      </w:divBdr>
                    </w:div>
                    <w:div w:id="225801835">
                      <w:marLeft w:val="225"/>
                      <w:marRight w:val="0"/>
                      <w:marTop w:val="60"/>
                      <w:marBottom w:val="0"/>
                      <w:divBdr>
                        <w:top w:val="none" w:sz="0" w:space="0" w:color="auto"/>
                        <w:left w:val="none" w:sz="0" w:space="0" w:color="auto"/>
                        <w:bottom w:val="none" w:sz="0" w:space="0" w:color="auto"/>
                        <w:right w:val="none" w:sz="0" w:space="0" w:color="auto"/>
                      </w:divBdr>
                    </w:div>
                    <w:div w:id="728842745">
                      <w:marLeft w:val="405"/>
                      <w:marRight w:val="0"/>
                      <w:marTop w:val="60"/>
                      <w:marBottom w:val="0"/>
                      <w:divBdr>
                        <w:top w:val="none" w:sz="0" w:space="0" w:color="auto"/>
                        <w:left w:val="none" w:sz="0" w:space="0" w:color="auto"/>
                        <w:bottom w:val="none" w:sz="0" w:space="0" w:color="auto"/>
                        <w:right w:val="none" w:sz="0" w:space="0" w:color="auto"/>
                      </w:divBdr>
                    </w:div>
                    <w:div w:id="21036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956">
              <w:marLeft w:val="0"/>
              <w:marRight w:val="0"/>
              <w:marTop w:val="0"/>
              <w:marBottom w:val="0"/>
              <w:divBdr>
                <w:top w:val="none" w:sz="0" w:space="0" w:color="auto"/>
                <w:left w:val="none" w:sz="0" w:space="0" w:color="auto"/>
                <w:bottom w:val="none" w:sz="0" w:space="0" w:color="auto"/>
                <w:right w:val="none" w:sz="0" w:space="0" w:color="auto"/>
              </w:divBdr>
              <w:divsChild>
                <w:div w:id="576328263">
                  <w:marLeft w:val="0"/>
                  <w:marRight w:val="0"/>
                  <w:marTop w:val="0"/>
                  <w:marBottom w:val="0"/>
                  <w:divBdr>
                    <w:top w:val="none" w:sz="0" w:space="0" w:color="auto"/>
                    <w:left w:val="none" w:sz="0" w:space="0" w:color="auto"/>
                    <w:bottom w:val="none" w:sz="0" w:space="0" w:color="auto"/>
                    <w:right w:val="none" w:sz="0" w:space="0" w:color="auto"/>
                  </w:divBdr>
                  <w:divsChild>
                    <w:div w:id="124007221">
                      <w:marLeft w:val="0"/>
                      <w:marRight w:val="0"/>
                      <w:marTop w:val="0"/>
                      <w:marBottom w:val="0"/>
                      <w:divBdr>
                        <w:top w:val="none" w:sz="0" w:space="0" w:color="auto"/>
                        <w:left w:val="none" w:sz="0" w:space="0" w:color="auto"/>
                        <w:bottom w:val="none" w:sz="0" w:space="0" w:color="auto"/>
                        <w:right w:val="none" w:sz="0" w:space="0" w:color="auto"/>
                      </w:divBdr>
                    </w:div>
                    <w:div w:id="549417884">
                      <w:marLeft w:val="225"/>
                      <w:marRight w:val="0"/>
                      <w:marTop w:val="150"/>
                      <w:marBottom w:val="0"/>
                      <w:divBdr>
                        <w:top w:val="none" w:sz="0" w:space="0" w:color="auto"/>
                        <w:left w:val="none" w:sz="0" w:space="0" w:color="auto"/>
                        <w:bottom w:val="none" w:sz="0" w:space="0" w:color="auto"/>
                        <w:right w:val="none" w:sz="0" w:space="0" w:color="auto"/>
                      </w:divBdr>
                    </w:div>
                    <w:div w:id="1578439794">
                      <w:marLeft w:val="15"/>
                      <w:marRight w:val="0"/>
                      <w:marTop w:val="210"/>
                      <w:marBottom w:val="0"/>
                      <w:divBdr>
                        <w:top w:val="none" w:sz="0" w:space="0" w:color="auto"/>
                        <w:left w:val="none" w:sz="0" w:space="0" w:color="auto"/>
                        <w:bottom w:val="none" w:sz="0" w:space="0" w:color="auto"/>
                        <w:right w:val="none" w:sz="0" w:space="0" w:color="auto"/>
                      </w:divBdr>
                    </w:div>
                    <w:div w:id="1910730343">
                      <w:marLeft w:val="405"/>
                      <w:marRight w:val="0"/>
                      <w:marTop w:val="60"/>
                      <w:marBottom w:val="0"/>
                      <w:divBdr>
                        <w:top w:val="none" w:sz="0" w:space="0" w:color="auto"/>
                        <w:left w:val="none" w:sz="0" w:space="0" w:color="auto"/>
                        <w:bottom w:val="none" w:sz="0" w:space="0" w:color="auto"/>
                        <w:right w:val="none" w:sz="0" w:space="0" w:color="auto"/>
                      </w:divBdr>
                    </w:div>
                  </w:divsChild>
                </w:div>
              </w:divsChild>
            </w:div>
            <w:div w:id="1072506189">
              <w:marLeft w:val="0"/>
              <w:marRight w:val="0"/>
              <w:marTop w:val="0"/>
              <w:marBottom w:val="0"/>
              <w:divBdr>
                <w:top w:val="none" w:sz="0" w:space="0" w:color="auto"/>
                <w:left w:val="none" w:sz="0" w:space="0" w:color="auto"/>
                <w:bottom w:val="none" w:sz="0" w:space="0" w:color="auto"/>
                <w:right w:val="none" w:sz="0" w:space="0" w:color="auto"/>
              </w:divBdr>
              <w:divsChild>
                <w:div w:id="1837912245">
                  <w:marLeft w:val="0"/>
                  <w:marRight w:val="0"/>
                  <w:marTop w:val="0"/>
                  <w:marBottom w:val="0"/>
                  <w:divBdr>
                    <w:top w:val="none" w:sz="0" w:space="0" w:color="auto"/>
                    <w:left w:val="none" w:sz="0" w:space="0" w:color="auto"/>
                    <w:bottom w:val="none" w:sz="0" w:space="0" w:color="auto"/>
                    <w:right w:val="none" w:sz="0" w:space="0" w:color="auto"/>
                  </w:divBdr>
                  <w:divsChild>
                    <w:div w:id="108008787">
                      <w:marLeft w:val="405"/>
                      <w:marRight w:val="0"/>
                      <w:marTop w:val="60"/>
                      <w:marBottom w:val="0"/>
                      <w:divBdr>
                        <w:top w:val="none" w:sz="0" w:space="0" w:color="auto"/>
                        <w:left w:val="none" w:sz="0" w:space="0" w:color="auto"/>
                        <w:bottom w:val="none" w:sz="0" w:space="0" w:color="auto"/>
                        <w:right w:val="none" w:sz="0" w:space="0" w:color="auto"/>
                      </w:divBdr>
                    </w:div>
                    <w:div w:id="818306905">
                      <w:marLeft w:val="225"/>
                      <w:marRight w:val="0"/>
                      <w:marTop w:val="60"/>
                      <w:marBottom w:val="0"/>
                      <w:divBdr>
                        <w:top w:val="none" w:sz="0" w:space="0" w:color="auto"/>
                        <w:left w:val="none" w:sz="0" w:space="0" w:color="auto"/>
                        <w:bottom w:val="none" w:sz="0" w:space="0" w:color="auto"/>
                        <w:right w:val="none" w:sz="0" w:space="0" w:color="auto"/>
                      </w:divBdr>
                    </w:div>
                    <w:div w:id="824199393">
                      <w:marLeft w:val="0"/>
                      <w:marRight w:val="0"/>
                      <w:marTop w:val="0"/>
                      <w:marBottom w:val="0"/>
                      <w:divBdr>
                        <w:top w:val="none" w:sz="0" w:space="0" w:color="auto"/>
                        <w:left w:val="none" w:sz="0" w:space="0" w:color="auto"/>
                        <w:bottom w:val="none" w:sz="0" w:space="0" w:color="auto"/>
                        <w:right w:val="none" w:sz="0" w:space="0" w:color="auto"/>
                      </w:divBdr>
                    </w:div>
                    <w:div w:id="214192205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51429729">
              <w:marLeft w:val="0"/>
              <w:marRight w:val="0"/>
              <w:marTop w:val="0"/>
              <w:marBottom w:val="0"/>
              <w:divBdr>
                <w:top w:val="none" w:sz="0" w:space="0" w:color="auto"/>
                <w:left w:val="none" w:sz="0" w:space="0" w:color="auto"/>
                <w:bottom w:val="none" w:sz="0" w:space="0" w:color="auto"/>
                <w:right w:val="none" w:sz="0" w:space="0" w:color="auto"/>
              </w:divBdr>
              <w:divsChild>
                <w:div w:id="1771587704">
                  <w:marLeft w:val="0"/>
                  <w:marRight w:val="0"/>
                  <w:marTop w:val="0"/>
                  <w:marBottom w:val="0"/>
                  <w:divBdr>
                    <w:top w:val="none" w:sz="0" w:space="0" w:color="auto"/>
                    <w:left w:val="none" w:sz="0" w:space="0" w:color="auto"/>
                    <w:bottom w:val="none" w:sz="0" w:space="0" w:color="auto"/>
                    <w:right w:val="none" w:sz="0" w:space="0" w:color="auto"/>
                  </w:divBdr>
                  <w:divsChild>
                    <w:div w:id="476191979">
                      <w:marLeft w:val="0"/>
                      <w:marRight w:val="0"/>
                      <w:marTop w:val="0"/>
                      <w:marBottom w:val="0"/>
                      <w:divBdr>
                        <w:top w:val="none" w:sz="0" w:space="0" w:color="auto"/>
                        <w:left w:val="none" w:sz="0" w:space="0" w:color="auto"/>
                        <w:bottom w:val="none" w:sz="0" w:space="0" w:color="auto"/>
                        <w:right w:val="none" w:sz="0" w:space="0" w:color="auto"/>
                      </w:divBdr>
                    </w:div>
                    <w:div w:id="730690473">
                      <w:marLeft w:val="225"/>
                      <w:marRight w:val="0"/>
                      <w:marTop w:val="60"/>
                      <w:marBottom w:val="0"/>
                      <w:divBdr>
                        <w:top w:val="none" w:sz="0" w:space="0" w:color="auto"/>
                        <w:left w:val="none" w:sz="0" w:space="0" w:color="auto"/>
                        <w:bottom w:val="none" w:sz="0" w:space="0" w:color="auto"/>
                        <w:right w:val="none" w:sz="0" w:space="0" w:color="auto"/>
                      </w:divBdr>
                    </w:div>
                    <w:div w:id="1161195478">
                      <w:marLeft w:val="405"/>
                      <w:marRight w:val="0"/>
                      <w:marTop w:val="60"/>
                      <w:marBottom w:val="0"/>
                      <w:divBdr>
                        <w:top w:val="none" w:sz="0" w:space="0" w:color="auto"/>
                        <w:left w:val="none" w:sz="0" w:space="0" w:color="auto"/>
                        <w:bottom w:val="none" w:sz="0" w:space="0" w:color="auto"/>
                        <w:right w:val="none" w:sz="0" w:space="0" w:color="auto"/>
                      </w:divBdr>
                    </w:div>
                    <w:div w:id="144325865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403916549">
              <w:marLeft w:val="0"/>
              <w:marRight w:val="0"/>
              <w:marTop w:val="0"/>
              <w:marBottom w:val="0"/>
              <w:divBdr>
                <w:top w:val="none" w:sz="0" w:space="0" w:color="auto"/>
                <w:left w:val="none" w:sz="0" w:space="0" w:color="auto"/>
                <w:bottom w:val="none" w:sz="0" w:space="0" w:color="auto"/>
                <w:right w:val="none" w:sz="0" w:space="0" w:color="auto"/>
              </w:divBdr>
              <w:divsChild>
                <w:div w:id="943733226">
                  <w:marLeft w:val="0"/>
                  <w:marRight w:val="0"/>
                  <w:marTop w:val="0"/>
                  <w:marBottom w:val="0"/>
                  <w:divBdr>
                    <w:top w:val="none" w:sz="0" w:space="0" w:color="auto"/>
                    <w:left w:val="none" w:sz="0" w:space="0" w:color="auto"/>
                    <w:bottom w:val="none" w:sz="0" w:space="0" w:color="auto"/>
                    <w:right w:val="none" w:sz="0" w:space="0" w:color="auto"/>
                  </w:divBdr>
                  <w:divsChild>
                    <w:div w:id="323433300">
                      <w:marLeft w:val="0"/>
                      <w:marRight w:val="0"/>
                      <w:marTop w:val="0"/>
                      <w:marBottom w:val="0"/>
                      <w:divBdr>
                        <w:top w:val="none" w:sz="0" w:space="0" w:color="auto"/>
                        <w:left w:val="none" w:sz="0" w:space="0" w:color="auto"/>
                        <w:bottom w:val="none" w:sz="0" w:space="0" w:color="auto"/>
                        <w:right w:val="none" w:sz="0" w:space="0" w:color="auto"/>
                      </w:divBdr>
                    </w:div>
                    <w:div w:id="374546780">
                      <w:marLeft w:val="225"/>
                      <w:marRight w:val="0"/>
                      <w:marTop w:val="120"/>
                      <w:marBottom w:val="0"/>
                      <w:divBdr>
                        <w:top w:val="none" w:sz="0" w:space="0" w:color="auto"/>
                        <w:left w:val="none" w:sz="0" w:space="0" w:color="auto"/>
                        <w:bottom w:val="none" w:sz="0" w:space="0" w:color="auto"/>
                        <w:right w:val="none" w:sz="0" w:space="0" w:color="auto"/>
                      </w:divBdr>
                    </w:div>
                    <w:div w:id="1740207365">
                      <w:marLeft w:val="15"/>
                      <w:marRight w:val="0"/>
                      <w:marTop w:val="0"/>
                      <w:marBottom w:val="0"/>
                      <w:divBdr>
                        <w:top w:val="none" w:sz="0" w:space="0" w:color="auto"/>
                        <w:left w:val="none" w:sz="0" w:space="0" w:color="auto"/>
                        <w:bottom w:val="none" w:sz="0" w:space="0" w:color="auto"/>
                        <w:right w:val="none" w:sz="0" w:space="0" w:color="auto"/>
                      </w:divBdr>
                    </w:div>
                    <w:div w:id="1767460920">
                      <w:marLeft w:val="405"/>
                      <w:marRight w:val="0"/>
                      <w:marTop w:val="60"/>
                      <w:marBottom w:val="0"/>
                      <w:divBdr>
                        <w:top w:val="none" w:sz="0" w:space="0" w:color="auto"/>
                        <w:left w:val="none" w:sz="0" w:space="0" w:color="auto"/>
                        <w:bottom w:val="none" w:sz="0" w:space="0" w:color="auto"/>
                        <w:right w:val="none" w:sz="0" w:space="0" w:color="auto"/>
                      </w:divBdr>
                    </w:div>
                  </w:divsChild>
                </w:div>
              </w:divsChild>
            </w:div>
            <w:div w:id="1430006371">
              <w:marLeft w:val="0"/>
              <w:marRight w:val="135"/>
              <w:marTop w:val="30"/>
              <w:marBottom w:val="0"/>
              <w:divBdr>
                <w:top w:val="none" w:sz="0" w:space="0" w:color="auto"/>
                <w:left w:val="none" w:sz="0" w:space="0" w:color="auto"/>
                <w:bottom w:val="none" w:sz="0" w:space="0" w:color="auto"/>
                <w:right w:val="none" w:sz="0" w:space="0" w:color="auto"/>
              </w:divBdr>
            </w:div>
            <w:div w:id="1468549101">
              <w:marLeft w:val="0"/>
              <w:marRight w:val="0"/>
              <w:marTop w:val="0"/>
              <w:marBottom w:val="0"/>
              <w:divBdr>
                <w:top w:val="none" w:sz="0" w:space="0" w:color="auto"/>
                <w:left w:val="none" w:sz="0" w:space="0" w:color="auto"/>
                <w:bottom w:val="none" w:sz="0" w:space="0" w:color="auto"/>
                <w:right w:val="none" w:sz="0" w:space="0" w:color="auto"/>
              </w:divBdr>
              <w:divsChild>
                <w:div w:id="1983730452">
                  <w:marLeft w:val="0"/>
                  <w:marRight w:val="0"/>
                  <w:marTop w:val="0"/>
                  <w:marBottom w:val="420"/>
                  <w:divBdr>
                    <w:top w:val="none" w:sz="0" w:space="0" w:color="auto"/>
                    <w:left w:val="none" w:sz="0" w:space="0" w:color="auto"/>
                    <w:bottom w:val="none" w:sz="0" w:space="0" w:color="auto"/>
                    <w:right w:val="none" w:sz="0" w:space="0" w:color="auto"/>
                  </w:divBdr>
                </w:div>
              </w:divsChild>
            </w:div>
            <w:div w:id="1663317074">
              <w:marLeft w:val="0"/>
              <w:marRight w:val="0"/>
              <w:marTop w:val="0"/>
              <w:marBottom w:val="0"/>
              <w:divBdr>
                <w:top w:val="none" w:sz="0" w:space="0" w:color="auto"/>
                <w:left w:val="none" w:sz="0" w:space="0" w:color="auto"/>
                <w:bottom w:val="none" w:sz="0" w:space="0" w:color="auto"/>
                <w:right w:val="none" w:sz="0" w:space="0" w:color="auto"/>
              </w:divBdr>
              <w:divsChild>
                <w:div w:id="228927426">
                  <w:marLeft w:val="0"/>
                  <w:marRight w:val="0"/>
                  <w:marTop w:val="0"/>
                  <w:marBottom w:val="0"/>
                  <w:divBdr>
                    <w:top w:val="none" w:sz="0" w:space="0" w:color="auto"/>
                    <w:left w:val="none" w:sz="0" w:space="0" w:color="auto"/>
                    <w:bottom w:val="none" w:sz="0" w:space="0" w:color="auto"/>
                    <w:right w:val="none" w:sz="0" w:space="0" w:color="auto"/>
                  </w:divBdr>
                  <w:divsChild>
                    <w:div w:id="608855273">
                      <w:marLeft w:val="225"/>
                      <w:marRight w:val="0"/>
                      <w:marTop w:val="210"/>
                      <w:marBottom w:val="0"/>
                      <w:divBdr>
                        <w:top w:val="none" w:sz="0" w:space="0" w:color="auto"/>
                        <w:left w:val="none" w:sz="0" w:space="0" w:color="auto"/>
                        <w:bottom w:val="none" w:sz="0" w:space="0" w:color="auto"/>
                        <w:right w:val="none" w:sz="0" w:space="0" w:color="auto"/>
                      </w:divBdr>
                    </w:div>
                    <w:div w:id="1888712329">
                      <w:marLeft w:val="15"/>
                      <w:marRight w:val="0"/>
                      <w:marTop w:val="0"/>
                      <w:marBottom w:val="0"/>
                      <w:divBdr>
                        <w:top w:val="none" w:sz="0" w:space="0" w:color="auto"/>
                        <w:left w:val="none" w:sz="0" w:space="0" w:color="auto"/>
                        <w:bottom w:val="none" w:sz="0" w:space="0" w:color="auto"/>
                        <w:right w:val="none" w:sz="0" w:space="0" w:color="auto"/>
                      </w:divBdr>
                    </w:div>
                    <w:div w:id="1897203799">
                      <w:marLeft w:val="0"/>
                      <w:marRight w:val="0"/>
                      <w:marTop w:val="0"/>
                      <w:marBottom w:val="0"/>
                      <w:divBdr>
                        <w:top w:val="none" w:sz="0" w:space="0" w:color="auto"/>
                        <w:left w:val="none" w:sz="0" w:space="0" w:color="auto"/>
                        <w:bottom w:val="none" w:sz="0" w:space="0" w:color="auto"/>
                        <w:right w:val="none" w:sz="0" w:space="0" w:color="auto"/>
                      </w:divBdr>
                    </w:div>
                    <w:div w:id="2135370561">
                      <w:marLeft w:val="405"/>
                      <w:marRight w:val="0"/>
                      <w:marTop w:val="60"/>
                      <w:marBottom w:val="0"/>
                      <w:divBdr>
                        <w:top w:val="none" w:sz="0" w:space="0" w:color="auto"/>
                        <w:left w:val="none" w:sz="0" w:space="0" w:color="auto"/>
                        <w:bottom w:val="none" w:sz="0" w:space="0" w:color="auto"/>
                        <w:right w:val="none" w:sz="0" w:space="0" w:color="auto"/>
                      </w:divBdr>
                    </w:div>
                  </w:divsChild>
                </w:div>
              </w:divsChild>
            </w:div>
            <w:div w:id="1966546937">
              <w:marLeft w:val="0"/>
              <w:marRight w:val="135"/>
              <w:marTop w:val="30"/>
              <w:marBottom w:val="0"/>
              <w:divBdr>
                <w:top w:val="none" w:sz="0" w:space="0" w:color="auto"/>
                <w:left w:val="none" w:sz="0" w:space="0" w:color="auto"/>
                <w:bottom w:val="none" w:sz="0" w:space="0" w:color="auto"/>
                <w:right w:val="none" w:sz="0" w:space="0" w:color="auto"/>
              </w:divBdr>
            </w:div>
            <w:div w:id="2011250657">
              <w:marLeft w:val="0"/>
              <w:marRight w:val="135"/>
              <w:marTop w:val="30"/>
              <w:marBottom w:val="0"/>
              <w:divBdr>
                <w:top w:val="none" w:sz="0" w:space="0" w:color="auto"/>
                <w:left w:val="none" w:sz="0" w:space="0" w:color="auto"/>
                <w:bottom w:val="none" w:sz="0" w:space="0" w:color="auto"/>
                <w:right w:val="none" w:sz="0" w:space="0" w:color="auto"/>
              </w:divBdr>
            </w:div>
            <w:div w:id="2055420216">
              <w:marLeft w:val="0"/>
              <w:marRight w:val="135"/>
              <w:marTop w:val="30"/>
              <w:marBottom w:val="0"/>
              <w:divBdr>
                <w:top w:val="none" w:sz="0" w:space="0" w:color="auto"/>
                <w:left w:val="none" w:sz="0" w:space="0" w:color="auto"/>
                <w:bottom w:val="none" w:sz="0" w:space="0" w:color="auto"/>
                <w:right w:val="none" w:sz="0" w:space="0" w:color="auto"/>
              </w:divBdr>
            </w:div>
            <w:div w:id="2134861921">
              <w:marLeft w:val="0"/>
              <w:marRight w:val="135"/>
              <w:marTop w:val="30"/>
              <w:marBottom w:val="0"/>
              <w:divBdr>
                <w:top w:val="none" w:sz="0" w:space="0" w:color="auto"/>
                <w:left w:val="none" w:sz="0" w:space="0" w:color="auto"/>
                <w:bottom w:val="none" w:sz="0" w:space="0" w:color="auto"/>
                <w:right w:val="none" w:sz="0" w:space="0" w:color="auto"/>
              </w:divBdr>
            </w:div>
          </w:divsChild>
        </w:div>
        <w:div w:id="1970209581">
          <w:marLeft w:val="0"/>
          <w:marRight w:val="0"/>
          <w:marTop w:val="0"/>
          <w:marBottom w:val="0"/>
          <w:divBdr>
            <w:top w:val="none" w:sz="0" w:space="0" w:color="auto"/>
            <w:left w:val="none" w:sz="0" w:space="0" w:color="auto"/>
            <w:bottom w:val="none" w:sz="0" w:space="0" w:color="auto"/>
            <w:right w:val="none" w:sz="0" w:space="0" w:color="auto"/>
          </w:divBdr>
          <w:divsChild>
            <w:div w:id="682391306">
              <w:marLeft w:val="0"/>
              <w:marRight w:val="210"/>
              <w:marTop w:val="0"/>
              <w:marBottom w:val="0"/>
              <w:divBdr>
                <w:top w:val="none" w:sz="0" w:space="0" w:color="auto"/>
                <w:left w:val="none" w:sz="0" w:space="0" w:color="auto"/>
                <w:bottom w:val="none" w:sz="0" w:space="0" w:color="auto"/>
                <w:right w:val="none" w:sz="0" w:space="0" w:color="auto"/>
              </w:divBdr>
            </w:div>
            <w:div w:id="740955120">
              <w:marLeft w:val="0"/>
              <w:marRight w:val="210"/>
              <w:marTop w:val="0"/>
              <w:marBottom w:val="0"/>
              <w:divBdr>
                <w:top w:val="none" w:sz="0" w:space="0" w:color="auto"/>
                <w:left w:val="none" w:sz="0" w:space="0" w:color="auto"/>
                <w:bottom w:val="none" w:sz="0" w:space="0" w:color="auto"/>
                <w:right w:val="none" w:sz="0" w:space="0" w:color="auto"/>
              </w:divBdr>
            </w:div>
            <w:div w:id="870991498">
              <w:marLeft w:val="0"/>
              <w:marRight w:val="210"/>
              <w:marTop w:val="0"/>
              <w:marBottom w:val="0"/>
              <w:divBdr>
                <w:top w:val="none" w:sz="0" w:space="0" w:color="auto"/>
                <w:left w:val="none" w:sz="0" w:space="0" w:color="auto"/>
                <w:bottom w:val="none" w:sz="0" w:space="0" w:color="auto"/>
                <w:right w:val="none" w:sz="0" w:space="0" w:color="auto"/>
              </w:divBdr>
            </w:div>
            <w:div w:id="178496105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53579650">
      <w:bodyDiv w:val="1"/>
      <w:marLeft w:val="0"/>
      <w:marRight w:val="0"/>
      <w:marTop w:val="0"/>
      <w:marBottom w:val="0"/>
      <w:divBdr>
        <w:top w:val="none" w:sz="0" w:space="0" w:color="auto"/>
        <w:left w:val="none" w:sz="0" w:space="0" w:color="auto"/>
        <w:bottom w:val="none" w:sz="0" w:space="0" w:color="auto"/>
        <w:right w:val="none" w:sz="0" w:space="0" w:color="auto"/>
      </w:divBdr>
    </w:div>
    <w:div w:id="2105567794">
      <w:bodyDiv w:val="1"/>
      <w:marLeft w:val="0"/>
      <w:marRight w:val="0"/>
      <w:marTop w:val="0"/>
      <w:marBottom w:val="0"/>
      <w:divBdr>
        <w:top w:val="none" w:sz="0" w:space="0" w:color="auto"/>
        <w:left w:val="none" w:sz="0" w:space="0" w:color="auto"/>
        <w:bottom w:val="none" w:sz="0" w:space="0" w:color="auto"/>
        <w:right w:val="none" w:sz="0" w:space="0" w:color="auto"/>
      </w:divBdr>
    </w:div>
    <w:div w:id="2131120620">
      <w:bodyDiv w:val="1"/>
      <w:marLeft w:val="0"/>
      <w:marRight w:val="0"/>
      <w:marTop w:val="0"/>
      <w:marBottom w:val="0"/>
      <w:divBdr>
        <w:top w:val="none" w:sz="0" w:space="0" w:color="auto"/>
        <w:left w:val="none" w:sz="0" w:space="0" w:color="auto"/>
        <w:bottom w:val="none" w:sz="0" w:space="0" w:color="auto"/>
        <w:right w:val="none" w:sz="0" w:space="0" w:color="auto"/>
      </w:divBdr>
    </w:div>
    <w:div w:id="2147232800">
      <w:bodyDiv w:val="1"/>
      <w:marLeft w:val="0"/>
      <w:marRight w:val="0"/>
      <w:marTop w:val="0"/>
      <w:marBottom w:val="0"/>
      <w:divBdr>
        <w:top w:val="none" w:sz="0" w:space="0" w:color="auto"/>
        <w:left w:val="none" w:sz="0" w:space="0" w:color="auto"/>
        <w:bottom w:val="none" w:sz="0" w:space="0" w:color="auto"/>
        <w:right w:val="none" w:sz="0" w:space="0" w:color="auto"/>
      </w:divBdr>
      <w:divsChild>
        <w:div w:id="242615500">
          <w:marLeft w:val="0"/>
          <w:marRight w:val="0"/>
          <w:marTop w:val="0"/>
          <w:marBottom w:val="0"/>
          <w:divBdr>
            <w:top w:val="none" w:sz="0" w:space="0" w:color="auto"/>
            <w:left w:val="none" w:sz="0" w:space="0" w:color="auto"/>
            <w:bottom w:val="none" w:sz="0" w:space="0" w:color="auto"/>
            <w:right w:val="none" w:sz="0" w:space="0" w:color="auto"/>
          </w:divBdr>
          <w:divsChild>
            <w:div w:id="348722559">
              <w:marLeft w:val="0"/>
              <w:marRight w:val="0"/>
              <w:marTop w:val="0"/>
              <w:marBottom w:val="0"/>
              <w:divBdr>
                <w:top w:val="none" w:sz="0" w:space="0" w:color="auto"/>
                <w:left w:val="none" w:sz="0" w:space="0" w:color="auto"/>
                <w:bottom w:val="none" w:sz="0" w:space="0" w:color="auto"/>
                <w:right w:val="none" w:sz="0" w:space="0" w:color="auto"/>
              </w:divBdr>
            </w:div>
            <w:div w:id="378365625">
              <w:marLeft w:val="0"/>
              <w:marRight w:val="0"/>
              <w:marTop w:val="0"/>
              <w:marBottom w:val="0"/>
              <w:divBdr>
                <w:top w:val="none" w:sz="0" w:space="0" w:color="auto"/>
                <w:left w:val="none" w:sz="0" w:space="0" w:color="auto"/>
                <w:bottom w:val="none" w:sz="0" w:space="0" w:color="auto"/>
                <w:right w:val="none" w:sz="0" w:space="0" w:color="auto"/>
              </w:divBdr>
            </w:div>
            <w:div w:id="715274797">
              <w:marLeft w:val="0"/>
              <w:marRight w:val="0"/>
              <w:marTop w:val="0"/>
              <w:marBottom w:val="0"/>
              <w:divBdr>
                <w:top w:val="none" w:sz="0" w:space="0" w:color="auto"/>
                <w:left w:val="none" w:sz="0" w:space="0" w:color="auto"/>
                <w:bottom w:val="none" w:sz="0" w:space="0" w:color="auto"/>
                <w:right w:val="none" w:sz="0" w:space="0" w:color="auto"/>
              </w:divBdr>
            </w:div>
            <w:div w:id="986980035">
              <w:marLeft w:val="0"/>
              <w:marRight w:val="0"/>
              <w:marTop w:val="0"/>
              <w:marBottom w:val="0"/>
              <w:divBdr>
                <w:top w:val="none" w:sz="0" w:space="0" w:color="auto"/>
                <w:left w:val="none" w:sz="0" w:space="0" w:color="auto"/>
                <w:bottom w:val="none" w:sz="0" w:space="0" w:color="auto"/>
                <w:right w:val="none" w:sz="0" w:space="0" w:color="auto"/>
              </w:divBdr>
            </w:div>
            <w:div w:id="1029838436">
              <w:marLeft w:val="0"/>
              <w:marRight w:val="0"/>
              <w:marTop w:val="0"/>
              <w:marBottom w:val="0"/>
              <w:divBdr>
                <w:top w:val="none" w:sz="0" w:space="0" w:color="auto"/>
                <w:left w:val="none" w:sz="0" w:space="0" w:color="auto"/>
                <w:bottom w:val="none" w:sz="0" w:space="0" w:color="auto"/>
                <w:right w:val="none" w:sz="0" w:space="0" w:color="auto"/>
              </w:divBdr>
            </w:div>
            <w:div w:id="1076591696">
              <w:marLeft w:val="0"/>
              <w:marRight w:val="0"/>
              <w:marTop w:val="0"/>
              <w:marBottom w:val="0"/>
              <w:divBdr>
                <w:top w:val="none" w:sz="0" w:space="0" w:color="auto"/>
                <w:left w:val="none" w:sz="0" w:space="0" w:color="auto"/>
                <w:bottom w:val="none" w:sz="0" w:space="0" w:color="auto"/>
                <w:right w:val="none" w:sz="0" w:space="0" w:color="auto"/>
              </w:divBdr>
            </w:div>
            <w:div w:id="1193763355">
              <w:marLeft w:val="0"/>
              <w:marRight w:val="0"/>
              <w:marTop w:val="0"/>
              <w:marBottom w:val="0"/>
              <w:divBdr>
                <w:top w:val="none" w:sz="0" w:space="0" w:color="auto"/>
                <w:left w:val="none" w:sz="0" w:space="0" w:color="auto"/>
                <w:bottom w:val="none" w:sz="0" w:space="0" w:color="auto"/>
                <w:right w:val="none" w:sz="0" w:space="0" w:color="auto"/>
              </w:divBdr>
            </w:div>
            <w:div w:id="1529028781">
              <w:marLeft w:val="0"/>
              <w:marRight w:val="0"/>
              <w:marTop w:val="0"/>
              <w:marBottom w:val="0"/>
              <w:divBdr>
                <w:top w:val="none" w:sz="0" w:space="0" w:color="auto"/>
                <w:left w:val="none" w:sz="0" w:space="0" w:color="auto"/>
                <w:bottom w:val="none" w:sz="0" w:space="0" w:color="auto"/>
                <w:right w:val="none" w:sz="0" w:space="0" w:color="auto"/>
              </w:divBdr>
            </w:div>
            <w:div w:id="18340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idf.org/webdata/docs/IDF_Metasyndrome_definition.pdf"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dx.doi.org/10.1378/chest.08-14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AR">
                <a:ln>
                  <a:noFill/>
                </a:ln>
                <a:solidFill>
                  <a:schemeClr val="tx1"/>
                </a:solidFill>
              </a:defRPr>
            </a:pPr>
            <a:r>
              <a:rPr lang="es-AR" dirty="0">
                <a:ln>
                  <a:noFill/>
                </a:ln>
                <a:solidFill>
                  <a:schemeClr val="tx1"/>
                </a:solidFill>
              </a:rPr>
              <a:t>Gráfico 1:SM en pacientes con EPOC</a:t>
            </a:r>
          </a:p>
        </c:rich>
      </c:tx>
      <c:layout>
        <c:manualLayout>
          <c:xMode val="edge"/>
          <c:yMode val="edge"/>
          <c:x val="9.6618047484189298E-2"/>
          <c:y val="2.4691358024691412E-2"/>
        </c:manualLayout>
      </c:layout>
      <c:spPr>
        <a:noFill/>
      </c:spPr>
    </c:title>
    <c:view3D>
      <c:rotX val="30"/>
      <c:perspective val="0"/>
    </c:view3D>
    <c:plotArea>
      <c:layout>
        <c:manualLayout>
          <c:layoutTarget val="inner"/>
          <c:xMode val="edge"/>
          <c:yMode val="edge"/>
          <c:x val="7.0393263342082388E-2"/>
          <c:y val="0.15189617557344567"/>
          <c:w val="0.8521727909011374"/>
          <c:h val="0.77537498375743441"/>
        </c:manualLayout>
      </c:layout>
      <c:pie3DChart>
        <c:varyColors val="1"/>
        <c:ser>
          <c:idx val="0"/>
          <c:order val="0"/>
          <c:explosion val="25"/>
          <c:dPt>
            <c:idx val="0"/>
            <c:spPr>
              <a:solidFill>
                <a:srgbClr val="FF0000"/>
              </a:solidFill>
            </c:spPr>
          </c:dPt>
          <c:dPt>
            <c:idx val="1"/>
            <c:spPr>
              <a:solidFill>
                <a:srgbClr val="00B0F0"/>
              </a:solidFill>
            </c:spPr>
          </c:dPt>
          <c:dLbls>
            <c:dLbl>
              <c:idx val="0"/>
              <c:layout>
                <c:manualLayout>
                  <c:x val="-0.17115354330708663"/>
                  <c:y val="3.0496610815655814E-2"/>
                </c:manualLayout>
              </c:layout>
              <c:tx>
                <c:rich>
                  <a:bodyPr/>
                  <a:lstStyle/>
                  <a:p>
                    <a:pPr>
                      <a:defRPr lang="es-AR" sz="2395" b="1"/>
                    </a:pPr>
                    <a:r>
                      <a:rPr lang="en-US" sz="2395" b="1" smtClean="0"/>
                      <a:t>37,2%</a:t>
                    </a:r>
                    <a:endParaRPr lang="en-US" sz="2400" b="1"/>
                  </a:p>
                </c:rich>
              </c:tx>
              <c:spPr/>
              <c:dLblPos val="bestFit"/>
            </c:dLbl>
            <c:dLbl>
              <c:idx val="1"/>
              <c:tx>
                <c:rich>
                  <a:bodyPr/>
                  <a:lstStyle/>
                  <a:p>
                    <a:pPr>
                      <a:defRPr lang="es-AR"/>
                    </a:pPr>
                    <a:r>
                      <a:rPr lang="en-US" sz="2395" b="1" smtClean="0"/>
                      <a:t>62,8%</a:t>
                    </a:r>
                    <a:endParaRPr lang="en-US" sz="2400" b="1"/>
                  </a:p>
                </c:rich>
              </c:tx>
              <c:spPr/>
            </c:dLbl>
            <c:spPr>
              <a:noFill/>
              <a:ln w="25348">
                <a:noFill/>
              </a:ln>
            </c:spPr>
            <c:txPr>
              <a:bodyPr/>
              <a:lstStyle/>
              <a:p>
                <a:pPr>
                  <a:defRPr lang="es-AR"/>
                </a:pPr>
                <a:endParaRPr lang="es-AR"/>
              </a:p>
            </c:txPr>
            <c:showPercent val="1"/>
            <c:showLeaderLines val="1"/>
          </c:dLbls>
          <c:cat>
            <c:strRef>
              <c:f>Hoja1!$G$33:$G$34</c:f>
              <c:strCache>
                <c:ptCount val="2"/>
                <c:pt idx="0">
                  <c:v>SM</c:v>
                </c:pt>
                <c:pt idx="1">
                  <c:v>Sin SM</c:v>
                </c:pt>
              </c:strCache>
            </c:strRef>
          </c:cat>
          <c:val>
            <c:numRef>
              <c:f>Hoja1!$H$33:$H$34</c:f>
              <c:numCache>
                <c:formatCode>General</c:formatCode>
                <c:ptCount val="2"/>
                <c:pt idx="0">
                  <c:v>37.200000000000003</c:v>
                </c:pt>
                <c:pt idx="1">
                  <c:v>62.8</c:v>
                </c:pt>
              </c:numCache>
            </c:numRef>
          </c:val>
        </c:ser>
      </c:pie3DChart>
      <c:spPr>
        <a:noFill/>
        <a:ln w="25348">
          <a:noFill/>
        </a:ln>
      </c:spPr>
    </c:plotArea>
    <c:legend>
      <c:legendPos val="r"/>
      <c:layout>
        <c:manualLayout>
          <c:xMode val="edge"/>
          <c:yMode val="edge"/>
          <c:x val="0.83819383283950366"/>
          <c:y val="0.63372411781860694"/>
          <c:w val="0.14513944592684724"/>
          <c:h val="0.22799688927772946"/>
        </c:manualLayout>
      </c:layout>
      <c:txPr>
        <a:bodyPr/>
        <a:lstStyle/>
        <a:p>
          <a:pPr>
            <a:defRPr lang="es-AR" sz="1198"/>
          </a:pPr>
          <a:endParaRPr lang="es-AR"/>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3573</Words>
  <Characters>19654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Síndrome Metabólico y</vt:lpstr>
    </vt:vector>
  </TitlesOfParts>
  <Company/>
  <LinksUpToDate>false</LinksUpToDate>
  <CharactersWithSpaces>23181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Síndrome Metabólico y</dc:title>
  <dc:creator>Hilda</dc:creator>
  <cp:lastModifiedBy>Enrique</cp:lastModifiedBy>
  <cp:revision>5</cp:revision>
  <dcterms:created xsi:type="dcterms:W3CDTF">2015-03-16T01:10:00Z</dcterms:created>
  <dcterms:modified xsi:type="dcterms:W3CDTF">2016-08-11T00:17:00Z</dcterms:modified>
</cp:coreProperties>
</file>