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E58" w:rsidRDefault="00846E58">
      <w:pPr>
        <w:spacing w:line="480" w:lineRule="auto"/>
        <w:jc w:val="both"/>
        <w:rPr>
          <w:rFonts w:ascii="Arial" w:hAnsi="Arial"/>
          <w:sz w:val="22"/>
          <w:szCs w:val="22"/>
        </w:rPr>
      </w:pPr>
    </w:p>
    <w:p w:rsidR="006601E0" w:rsidRDefault="006601E0">
      <w:pPr>
        <w:spacing w:line="480" w:lineRule="auto"/>
        <w:jc w:val="both"/>
        <w:rPr>
          <w:rFonts w:ascii="Arial" w:hAnsi="Arial"/>
          <w:sz w:val="22"/>
          <w:szCs w:val="22"/>
        </w:rPr>
      </w:pPr>
    </w:p>
    <w:p w:rsidR="008A10AC" w:rsidRDefault="001860FB">
      <w:pPr>
        <w:spacing w:line="48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Paciente de 4 años, sin antecedentes a destacar, </w:t>
      </w:r>
      <w:r w:rsidR="00332D5F">
        <w:rPr>
          <w:rFonts w:ascii="Arial" w:hAnsi="Arial"/>
          <w:sz w:val="22"/>
          <w:szCs w:val="22"/>
        </w:rPr>
        <w:t>derivada del servicio de clínica pediátrica por presentar imagen radiológica persistente localizada en campo pulmonar superior derecho.</w:t>
      </w:r>
      <w:r>
        <w:rPr>
          <w:rFonts w:ascii="Arial" w:hAnsi="Arial"/>
          <w:sz w:val="22"/>
          <w:szCs w:val="22"/>
        </w:rPr>
        <w:t xml:space="preserve"> </w:t>
      </w:r>
    </w:p>
    <w:p w:rsidR="008A10AC" w:rsidRPr="00846E58" w:rsidRDefault="00846E58">
      <w:pPr>
        <w:spacing w:line="48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</w:t>
      </w:r>
      <w:r w:rsidR="00B17F3B">
        <w:rPr>
          <w:rFonts w:ascii="Arial" w:hAnsi="Arial"/>
          <w:noProof/>
          <w:sz w:val="22"/>
          <w:szCs w:val="22"/>
          <w:lang w:val="es-AR" w:eastAsia="es-AR"/>
        </w:rPr>
        <w:drawing>
          <wp:inline distT="0" distB="0" distL="0" distR="0">
            <wp:extent cx="2352675" cy="2638425"/>
            <wp:effectExtent l="19050" t="0" r="9525" b="0"/>
            <wp:docPr id="3" name="Imagen 3" descr="20150202_100630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50202_100630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2"/>
          <w:szCs w:val="22"/>
        </w:rPr>
        <w:t xml:space="preserve">    </w:t>
      </w:r>
      <w:r w:rsidR="00B17F3B">
        <w:rPr>
          <w:rFonts w:ascii="Arial" w:hAnsi="Arial"/>
          <w:noProof/>
          <w:sz w:val="22"/>
          <w:szCs w:val="22"/>
          <w:lang w:val="es-AR" w:eastAsia="es-AR"/>
        </w:rPr>
        <w:drawing>
          <wp:inline distT="0" distB="0" distL="0" distR="0">
            <wp:extent cx="2000250" cy="2628900"/>
            <wp:effectExtent l="19050" t="0" r="0" b="0"/>
            <wp:docPr id="4" name="Imagen 4" descr="20150202_100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150202_10064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0AC" w:rsidRDefault="008A10AC">
      <w:pPr>
        <w:spacing w:line="48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Radiografia de </w:t>
      </w:r>
      <w:r w:rsidR="00332D5F">
        <w:rPr>
          <w:rFonts w:ascii="Arial" w:hAnsi="Arial"/>
          <w:sz w:val="22"/>
          <w:szCs w:val="22"/>
        </w:rPr>
        <w:t xml:space="preserve">tórax: </w:t>
      </w:r>
      <w:r>
        <w:rPr>
          <w:rFonts w:ascii="Arial" w:hAnsi="Arial"/>
          <w:sz w:val="22"/>
          <w:szCs w:val="22"/>
        </w:rPr>
        <w:t>l</w:t>
      </w:r>
      <w:r w:rsidR="00332D5F">
        <w:rPr>
          <w:rFonts w:ascii="Arial" w:hAnsi="Arial"/>
          <w:sz w:val="22"/>
          <w:szCs w:val="22"/>
        </w:rPr>
        <w:t>magen radiopaca, homogénea, de bordes netos, localizada en campo pulmonar superior derecho.</w:t>
      </w:r>
    </w:p>
    <w:p w:rsidR="00332D5F" w:rsidRPr="00C424EB" w:rsidRDefault="00C424EB">
      <w:pPr>
        <w:spacing w:line="480" w:lineRule="auto"/>
        <w:jc w:val="both"/>
        <w:rPr>
          <w:rFonts w:ascii="Arial" w:hAnsi="Arial" w:cs="Arial"/>
          <w:b/>
          <w:u w:val="single"/>
        </w:rPr>
      </w:pPr>
      <w:r w:rsidRPr="00D03DBE">
        <w:rPr>
          <w:rFonts w:ascii="Arial" w:hAnsi="Arial" w:cs="Arial"/>
          <w:b/>
          <w:u w:val="single"/>
        </w:rPr>
        <w:t>Tomografía de tórax:</w:t>
      </w:r>
      <w:r>
        <w:rPr>
          <w:rFonts w:ascii="Arial" w:hAnsi="Arial" w:cs="Arial"/>
        </w:rPr>
        <w:t xml:space="preserve">    </w:t>
      </w:r>
    </w:p>
    <w:p w:rsidR="001011C0" w:rsidRDefault="008A10AC">
      <w:pPr>
        <w:spacing w:line="48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</w:t>
      </w:r>
      <w:r w:rsidR="00B17F3B">
        <w:rPr>
          <w:rFonts w:ascii="Arial" w:hAnsi="Arial"/>
          <w:noProof/>
          <w:sz w:val="22"/>
          <w:szCs w:val="22"/>
          <w:lang w:val="es-AR" w:eastAsia="es-AR"/>
        </w:rPr>
        <w:drawing>
          <wp:inline distT="0" distB="0" distL="0" distR="0">
            <wp:extent cx="2390775" cy="1790700"/>
            <wp:effectExtent l="19050" t="0" r="9525" b="0"/>
            <wp:docPr id="1" name="Imagen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5475" t="8701" r="4379" b="103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01E0">
        <w:rPr>
          <w:rFonts w:ascii="Arial" w:hAnsi="Arial"/>
          <w:sz w:val="22"/>
          <w:szCs w:val="22"/>
        </w:rPr>
        <w:t xml:space="preserve">  </w:t>
      </w:r>
      <w:r w:rsidR="00B17F3B">
        <w:rPr>
          <w:rFonts w:ascii="Arial" w:hAnsi="Arial"/>
          <w:noProof/>
          <w:sz w:val="22"/>
          <w:szCs w:val="22"/>
          <w:lang w:val="es-AR" w:eastAsia="es-AR"/>
        </w:rPr>
        <w:drawing>
          <wp:inline distT="0" distB="0" distL="0" distR="0">
            <wp:extent cx="2733675" cy="1781175"/>
            <wp:effectExtent l="19050" t="0" r="9525" b="0"/>
            <wp:docPr id="2" name="Imagen 2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 l="14819" t="26985" r="6682" b="5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C63" w:rsidRDefault="008A10AC" w:rsidP="00332D5F">
      <w:pPr>
        <w:spacing w:line="48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Se observa </w:t>
      </w:r>
      <w:r w:rsidR="00332D5F">
        <w:rPr>
          <w:rFonts w:ascii="Arial" w:hAnsi="Arial"/>
          <w:sz w:val="22"/>
          <w:szCs w:val="22"/>
        </w:rPr>
        <w:t>imagen quística con origen en mediastino medio derecho ocupando hemitorax superior y medio homolateral, contenido homogéneo, pared fina, sin lesión de pared torácica de 42 x 48 x 50</w:t>
      </w:r>
      <w:r w:rsidR="004364F2">
        <w:rPr>
          <w:rFonts w:ascii="Arial" w:hAnsi="Arial"/>
          <w:sz w:val="22"/>
          <w:szCs w:val="22"/>
        </w:rPr>
        <w:t xml:space="preserve"> mm.</w:t>
      </w:r>
    </w:p>
    <w:p w:rsidR="00846E58" w:rsidRPr="006601E0" w:rsidRDefault="008A10AC">
      <w:pPr>
        <w:spacing w:line="48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Examen físico: eutrófica. </w:t>
      </w:r>
      <w:r w:rsidR="004364F2">
        <w:rPr>
          <w:rFonts w:ascii="Arial" w:hAnsi="Arial"/>
          <w:sz w:val="22"/>
          <w:szCs w:val="22"/>
        </w:rPr>
        <w:t>Hipoventilacion en campo pulmonar superior derecho.</w:t>
      </w:r>
    </w:p>
    <w:p w:rsidR="00846E58" w:rsidRDefault="00846E58">
      <w:pPr>
        <w:spacing w:line="480" w:lineRule="auto"/>
        <w:jc w:val="both"/>
        <w:rPr>
          <w:rFonts w:ascii="Arial" w:hAnsi="Arial"/>
          <w:b/>
          <w:sz w:val="22"/>
          <w:szCs w:val="22"/>
          <w:u w:val="single"/>
        </w:rPr>
      </w:pPr>
    </w:p>
    <w:p w:rsidR="008A10AC" w:rsidRDefault="008A10AC">
      <w:pPr>
        <w:spacing w:line="480" w:lineRule="auto"/>
        <w:jc w:val="both"/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lastRenderedPageBreak/>
        <w:t>Diagnósticos diferenciales</w:t>
      </w:r>
    </w:p>
    <w:p w:rsidR="008A10AC" w:rsidRDefault="008A10AC" w:rsidP="004364F2">
      <w:pPr>
        <w:numPr>
          <w:ilvl w:val="0"/>
          <w:numId w:val="2"/>
        </w:numPr>
        <w:spacing w:line="48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Malformación </w:t>
      </w:r>
      <w:r w:rsidR="004364F2">
        <w:rPr>
          <w:rFonts w:ascii="Arial" w:hAnsi="Arial"/>
          <w:sz w:val="22"/>
          <w:szCs w:val="22"/>
        </w:rPr>
        <w:t>(quiste broncogenico, malformación adenomatoidea quística, duplicación esofágica)</w:t>
      </w:r>
    </w:p>
    <w:p w:rsidR="008A10AC" w:rsidRDefault="004364F2" w:rsidP="004364F2">
      <w:pPr>
        <w:numPr>
          <w:ilvl w:val="0"/>
          <w:numId w:val="2"/>
        </w:numPr>
        <w:spacing w:line="48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Lesion tumoral</w:t>
      </w:r>
      <w:r w:rsidR="00B80329">
        <w:rPr>
          <w:rFonts w:ascii="Arial" w:hAnsi="Arial"/>
          <w:sz w:val="22"/>
          <w:szCs w:val="22"/>
        </w:rPr>
        <w:t xml:space="preserve"> </w:t>
      </w:r>
      <w:r w:rsidR="00B80329" w:rsidRPr="00B80329">
        <w:rPr>
          <w:rFonts w:ascii="Arial" w:hAnsi="Arial" w:cs="Arial"/>
          <w:sz w:val="22"/>
          <w:szCs w:val="22"/>
        </w:rPr>
        <w:t>(neoplasias de la cadena simpática</w:t>
      </w:r>
      <w:r w:rsidR="00B80329">
        <w:rPr>
          <w:rFonts w:ascii="Arial" w:hAnsi="Arial" w:cs="Arial"/>
          <w:sz w:val="22"/>
          <w:szCs w:val="22"/>
        </w:rPr>
        <w:t>, hemangioma, leiomioma, neurofibibroma).</w:t>
      </w:r>
    </w:p>
    <w:p w:rsidR="00B80329" w:rsidRPr="00B80329" w:rsidRDefault="004364F2" w:rsidP="00B80329">
      <w:pPr>
        <w:numPr>
          <w:ilvl w:val="0"/>
          <w:numId w:val="2"/>
        </w:numPr>
        <w:spacing w:line="480" w:lineRule="auto"/>
        <w:jc w:val="both"/>
        <w:rPr>
          <w:rFonts w:ascii="Arial" w:hAnsi="Arial"/>
          <w:sz w:val="22"/>
          <w:szCs w:val="22"/>
        </w:rPr>
      </w:pPr>
      <w:r w:rsidRPr="004364F2">
        <w:rPr>
          <w:rFonts w:ascii="Arial" w:hAnsi="Arial"/>
          <w:sz w:val="22"/>
          <w:szCs w:val="22"/>
        </w:rPr>
        <w:t xml:space="preserve">Neumonia persistente </w:t>
      </w:r>
    </w:p>
    <w:p w:rsidR="008A10AC" w:rsidRDefault="008A10AC">
      <w:pPr>
        <w:spacing w:line="48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  <w:u w:val="single"/>
        </w:rPr>
        <w:t>Diagnóstico definitivo</w:t>
      </w:r>
      <w:r>
        <w:rPr>
          <w:rFonts w:ascii="Arial" w:hAnsi="Arial"/>
          <w:b/>
          <w:sz w:val="22"/>
          <w:szCs w:val="22"/>
        </w:rPr>
        <w:t xml:space="preserve">: </w:t>
      </w:r>
      <w:r>
        <w:rPr>
          <w:rFonts w:ascii="Arial" w:hAnsi="Arial"/>
          <w:sz w:val="22"/>
          <w:szCs w:val="22"/>
        </w:rPr>
        <w:t xml:space="preserve">Se realiza </w:t>
      </w:r>
      <w:r w:rsidR="00C424EB">
        <w:rPr>
          <w:rFonts w:ascii="Arial" w:hAnsi="Arial"/>
          <w:sz w:val="22"/>
          <w:szCs w:val="22"/>
        </w:rPr>
        <w:t xml:space="preserve">cirugía, </w:t>
      </w:r>
      <w:r w:rsidR="004364F2">
        <w:rPr>
          <w:rFonts w:ascii="Arial" w:hAnsi="Arial"/>
          <w:sz w:val="22"/>
          <w:szCs w:val="22"/>
        </w:rPr>
        <w:t>observa</w:t>
      </w:r>
      <w:r w:rsidR="00C424EB">
        <w:rPr>
          <w:rFonts w:ascii="Arial" w:hAnsi="Arial"/>
          <w:sz w:val="22"/>
          <w:szCs w:val="22"/>
        </w:rPr>
        <w:t>ndose</w:t>
      </w:r>
      <w:r w:rsidR="004364F2">
        <w:rPr>
          <w:rFonts w:ascii="Arial" w:hAnsi="Arial"/>
          <w:sz w:val="22"/>
          <w:szCs w:val="22"/>
        </w:rPr>
        <w:t xml:space="preserve"> duplicación esofágica.</w:t>
      </w:r>
    </w:p>
    <w:p w:rsidR="00C424EB" w:rsidRPr="00C424EB" w:rsidRDefault="00C424EB">
      <w:pPr>
        <w:spacing w:line="480" w:lineRule="auto"/>
        <w:jc w:val="both"/>
        <w:rPr>
          <w:rFonts w:ascii="Arial" w:hAnsi="Arial" w:cs="Arial"/>
          <w:b/>
          <w:u w:val="single"/>
        </w:rPr>
      </w:pPr>
      <w:r w:rsidRPr="00270CD8">
        <w:rPr>
          <w:rFonts w:ascii="Arial" w:hAnsi="Arial" w:cs="Arial"/>
          <w:b/>
          <w:u w:val="single"/>
        </w:rPr>
        <w:t>Discusión:</w:t>
      </w:r>
    </w:p>
    <w:p w:rsidR="001C1845" w:rsidRPr="00CF1708" w:rsidRDefault="001C1845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F1708">
        <w:rPr>
          <w:rFonts w:ascii="Arial" w:hAnsi="Arial" w:cs="Arial"/>
          <w:sz w:val="22"/>
          <w:szCs w:val="22"/>
        </w:rPr>
        <w:t xml:space="preserve">La incidencia de las anormalidades esofágicas congénitas es de 1:3000 a 1:4500.  </w:t>
      </w:r>
      <w:r w:rsidR="00CF1708" w:rsidRPr="00CF1708">
        <w:rPr>
          <w:rFonts w:ascii="Arial" w:hAnsi="Arial" w:cs="Arial"/>
          <w:sz w:val="22"/>
          <w:szCs w:val="22"/>
        </w:rPr>
        <w:t>S</w:t>
      </w:r>
      <w:r w:rsidRPr="00CF1708">
        <w:rPr>
          <w:rFonts w:ascii="Arial" w:hAnsi="Arial" w:cs="Arial"/>
          <w:sz w:val="22"/>
          <w:szCs w:val="22"/>
        </w:rPr>
        <w:t>e suelen producir entre la 5º y 6º semana de vida intrauterina como resultado de una falta de recanalizacion del intestino primitivo.</w:t>
      </w:r>
    </w:p>
    <w:p w:rsidR="001C1845" w:rsidRPr="00CF1708" w:rsidRDefault="00CF1708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F1708">
        <w:rPr>
          <w:rFonts w:ascii="Arial" w:hAnsi="Arial" w:cs="Arial"/>
          <w:sz w:val="22"/>
          <w:szCs w:val="22"/>
        </w:rPr>
        <w:t xml:space="preserve">El </w:t>
      </w:r>
      <w:r w:rsidR="001C1845" w:rsidRPr="00CF1708">
        <w:rPr>
          <w:rFonts w:ascii="Arial" w:hAnsi="Arial" w:cs="Arial"/>
          <w:sz w:val="22"/>
          <w:szCs w:val="22"/>
        </w:rPr>
        <w:t>75% de estas lesiones son asintomáticas. Las manifestaciones clínicas pueden deberse a la compresión del árbol traqueoesofágico En la mitad de los pacientes se descubren incidentalmente.</w:t>
      </w:r>
      <w:r w:rsidRPr="00CF1708">
        <w:rPr>
          <w:rFonts w:ascii="Arial" w:hAnsi="Arial" w:cs="Arial"/>
          <w:sz w:val="22"/>
          <w:szCs w:val="22"/>
        </w:rPr>
        <w:t xml:space="preserve"> E</w:t>
      </w:r>
      <w:r w:rsidR="001C1845" w:rsidRPr="00CF1708">
        <w:rPr>
          <w:rFonts w:ascii="Arial" w:hAnsi="Arial" w:cs="Arial"/>
          <w:sz w:val="22"/>
          <w:szCs w:val="22"/>
        </w:rPr>
        <w:t>l esofagograma muestra el esófago desplazado hacia el sitio opuesto al quiste.</w:t>
      </w:r>
      <w:r w:rsidRPr="00CF1708">
        <w:rPr>
          <w:rFonts w:ascii="Arial" w:hAnsi="Arial" w:cs="Arial"/>
          <w:sz w:val="22"/>
          <w:szCs w:val="22"/>
        </w:rPr>
        <w:t xml:space="preserve"> </w:t>
      </w:r>
      <w:r w:rsidR="001C1845" w:rsidRPr="00CF1708">
        <w:rPr>
          <w:rFonts w:ascii="Arial" w:hAnsi="Arial" w:cs="Arial"/>
          <w:sz w:val="22"/>
          <w:szCs w:val="22"/>
        </w:rPr>
        <w:t xml:space="preserve">En la TAC, </w:t>
      </w:r>
      <w:r w:rsidRPr="00CF1708">
        <w:rPr>
          <w:rFonts w:ascii="Arial" w:hAnsi="Arial" w:cs="Arial"/>
          <w:sz w:val="22"/>
          <w:szCs w:val="22"/>
        </w:rPr>
        <w:t xml:space="preserve">se observa </w:t>
      </w:r>
      <w:r w:rsidR="001C1845" w:rsidRPr="00CF1708">
        <w:rPr>
          <w:rFonts w:ascii="Arial" w:hAnsi="Arial" w:cs="Arial"/>
          <w:sz w:val="22"/>
          <w:szCs w:val="22"/>
        </w:rPr>
        <w:t xml:space="preserve"> una masa homogénea </w:t>
      </w:r>
      <w:r w:rsidRPr="00CF1708">
        <w:rPr>
          <w:rFonts w:ascii="Arial" w:hAnsi="Arial" w:cs="Arial"/>
          <w:sz w:val="22"/>
          <w:szCs w:val="22"/>
        </w:rPr>
        <w:t>que no realza con contraste endovenoso.</w:t>
      </w:r>
    </w:p>
    <w:p w:rsidR="001C1845" w:rsidRDefault="001C1845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F1708">
        <w:rPr>
          <w:rFonts w:ascii="Arial" w:hAnsi="Arial" w:cs="Arial"/>
          <w:sz w:val="22"/>
          <w:szCs w:val="22"/>
        </w:rPr>
        <w:t>El tratamiento de elección es la resección quirúrgica completa y la recurrencia es infecuente.</w:t>
      </w:r>
    </w:p>
    <w:p w:rsidR="008A10AC" w:rsidRDefault="008A10AC">
      <w:pPr>
        <w:spacing w:line="480" w:lineRule="auto"/>
        <w:jc w:val="both"/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>Bibliografía</w:t>
      </w:r>
    </w:p>
    <w:p w:rsidR="00CF1708" w:rsidRPr="00CF1708" w:rsidRDefault="008A10AC" w:rsidP="00CF1708">
      <w:pPr>
        <w:numPr>
          <w:ilvl w:val="0"/>
          <w:numId w:val="1"/>
        </w:numPr>
        <w:tabs>
          <w:tab w:val="clear" w:pos="720"/>
          <w:tab w:val="num" w:pos="0"/>
        </w:tabs>
        <w:spacing w:line="480" w:lineRule="auto"/>
        <w:ind w:left="0"/>
        <w:jc w:val="both"/>
        <w:rPr>
          <w:rFonts w:ascii="Arial" w:hAnsi="Arial" w:cs="Arial"/>
          <w:sz w:val="22"/>
          <w:szCs w:val="22"/>
          <w:lang w:val="en-US"/>
        </w:rPr>
      </w:pPr>
      <w:r w:rsidRPr="00CF1708">
        <w:rPr>
          <w:rFonts w:ascii="Arial" w:hAnsi="Arial" w:cs="Arial"/>
          <w:sz w:val="22"/>
          <w:szCs w:val="22"/>
          <w:lang w:val="en-US"/>
        </w:rPr>
        <w:t>Kendig`s. Disorders of the Respiratory Tract in Children. Elsevier 2006 : 568-573.</w:t>
      </w:r>
    </w:p>
    <w:p w:rsidR="00CF1708" w:rsidRPr="00CF1708" w:rsidRDefault="00CF1708" w:rsidP="00CF1708">
      <w:pPr>
        <w:numPr>
          <w:ilvl w:val="0"/>
          <w:numId w:val="1"/>
        </w:numPr>
        <w:tabs>
          <w:tab w:val="clear" w:pos="720"/>
          <w:tab w:val="num" w:pos="0"/>
        </w:tabs>
        <w:spacing w:line="480" w:lineRule="auto"/>
        <w:ind w:left="0"/>
        <w:jc w:val="both"/>
        <w:rPr>
          <w:rFonts w:ascii="Arial" w:hAnsi="Arial" w:cs="Arial"/>
          <w:sz w:val="22"/>
          <w:szCs w:val="22"/>
        </w:rPr>
      </w:pPr>
      <w:r w:rsidRPr="00CF1708">
        <w:rPr>
          <w:rFonts w:ascii="Arial" w:hAnsi="Arial" w:cs="Arial"/>
          <w:sz w:val="22"/>
          <w:szCs w:val="22"/>
        </w:rPr>
        <w:t>Quiste de duplicación esofágica. Informe de un caso y revisión de la literatura Acta Pediátrica de México 111 Volumen 31, Núm. 3, mayo-junio, 2010</w:t>
      </w:r>
    </w:p>
    <w:p w:rsidR="00CF1708" w:rsidRPr="00CF1708" w:rsidRDefault="00CF1708" w:rsidP="00CF1708">
      <w:pPr>
        <w:numPr>
          <w:ilvl w:val="0"/>
          <w:numId w:val="1"/>
        </w:numPr>
        <w:tabs>
          <w:tab w:val="clear" w:pos="720"/>
          <w:tab w:val="num" w:pos="0"/>
        </w:tabs>
        <w:spacing w:line="480" w:lineRule="auto"/>
        <w:ind w:left="0"/>
        <w:jc w:val="both"/>
        <w:rPr>
          <w:rFonts w:ascii="Arial" w:hAnsi="Arial" w:cs="Arial"/>
          <w:sz w:val="22"/>
          <w:szCs w:val="22"/>
          <w:lang w:val="en-US"/>
        </w:rPr>
      </w:pPr>
      <w:r w:rsidRPr="00CF1708">
        <w:rPr>
          <w:rFonts w:ascii="Arial" w:hAnsi="Arial" w:cs="Arial"/>
          <w:sz w:val="22"/>
          <w:szCs w:val="22"/>
          <w:lang w:val="en-US"/>
        </w:rPr>
        <w:t>Esophageal Duplication Cyst. Abu-Zaid, A; Azzam, A. The New England Journal of Medicine. Vol: 371 Nro: 24 Pags: e36 – Fecha: 11/12/2014</w:t>
      </w:r>
    </w:p>
    <w:p w:rsidR="008A10AC" w:rsidRDefault="008A10AC">
      <w:pPr>
        <w:spacing w:line="480" w:lineRule="auto"/>
        <w:jc w:val="both"/>
        <w:rPr>
          <w:rFonts w:ascii="Arial" w:hAnsi="Arial" w:cs="MyriadPro-Semibold"/>
          <w:sz w:val="22"/>
          <w:szCs w:val="36"/>
        </w:rPr>
      </w:pPr>
      <w:r w:rsidRPr="00CF1708">
        <w:rPr>
          <w:rFonts w:ascii="Arial" w:hAnsi="Arial"/>
          <w:b/>
          <w:bCs/>
          <w:sz w:val="22"/>
          <w:szCs w:val="22"/>
          <w:u w:val="single"/>
        </w:rPr>
        <w:t>Autores:</w:t>
      </w:r>
      <w:r w:rsidRPr="00CF1708">
        <w:rPr>
          <w:rFonts w:ascii="Arial" w:hAnsi="Arial"/>
          <w:sz w:val="22"/>
          <w:szCs w:val="22"/>
        </w:rPr>
        <w:t xml:space="preserve"> </w:t>
      </w:r>
      <w:r w:rsidR="001011C0" w:rsidRPr="00CF1708">
        <w:rPr>
          <w:rFonts w:ascii="Arial" w:hAnsi="Arial"/>
          <w:sz w:val="22"/>
          <w:szCs w:val="22"/>
        </w:rPr>
        <w:t xml:space="preserve"> </w:t>
      </w:r>
      <w:r w:rsidRPr="00CF1708">
        <w:rPr>
          <w:rFonts w:ascii="Arial" w:hAnsi="Arial" w:cs="MyriadPro-Semibold"/>
          <w:sz w:val="22"/>
          <w:szCs w:val="36"/>
        </w:rPr>
        <w:t xml:space="preserve"> </w:t>
      </w:r>
      <w:r w:rsidR="0052725D">
        <w:rPr>
          <w:rFonts w:ascii="Arial" w:hAnsi="Arial" w:cs="MyriadPro-Semibold"/>
          <w:sz w:val="22"/>
          <w:szCs w:val="36"/>
        </w:rPr>
        <w:t>Bigliati María Soledad</w:t>
      </w:r>
      <w:r w:rsidRPr="00CF1708">
        <w:rPr>
          <w:rFonts w:ascii="Arial" w:hAnsi="Arial" w:cs="MyriadPro-Semibold"/>
          <w:sz w:val="22"/>
          <w:szCs w:val="36"/>
        </w:rPr>
        <w:t xml:space="preserve">, </w:t>
      </w:r>
      <w:r w:rsidR="0052725D">
        <w:rPr>
          <w:rFonts w:ascii="Arial" w:hAnsi="Arial" w:cs="MyriadPro-Semibold"/>
          <w:sz w:val="22"/>
          <w:szCs w:val="36"/>
        </w:rPr>
        <w:t>Rivas Elisa, Regueiro Florencia, Calvo Mariel,</w:t>
      </w:r>
      <w:r w:rsidR="00846E58">
        <w:rPr>
          <w:rFonts w:ascii="Arial" w:hAnsi="Arial" w:cs="MyriadPro-Semibold"/>
          <w:sz w:val="22"/>
          <w:szCs w:val="36"/>
        </w:rPr>
        <w:t xml:space="preserve"> Sartori Gabriela</w:t>
      </w:r>
      <w:r w:rsidR="0052725D">
        <w:rPr>
          <w:rFonts w:ascii="Arial" w:hAnsi="Arial" w:cs="MyriadPro-Semibold"/>
          <w:sz w:val="22"/>
          <w:szCs w:val="36"/>
        </w:rPr>
        <w:t xml:space="preserve">. </w:t>
      </w:r>
      <w:r>
        <w:rPr>
          <w:rFonts w:ascii="Arial" w:hAnsi="Arial" w:cs="MyriadPro-Semibold"/>
          <w:sz w:val="22"/>
          <w:szCs w:val="36"/>
        </w:rPr>
        <w:t>División Neumotisiología, Hospital General de Niños Pedro de Elizalde (neumotisioelizalde@gmail.com).</w:t>
      </w:r>
    </w:p>
    <w:sectPr w:rsidR="008A10AC" w:rsidSect="009C6D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47A60"/>
    <w:multiLevelType w:val="hybridMultilevel"/>
    <w:tmpl w:val="589859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83E60A4"/>
    <w:multiLevelType w:val="hybridMultilevel"/>
    <w:tmpl w:val="F260DD8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011C0"/>
    <w:rsid w:val="001011C0"/>
    <w:rsid w:val="001860FB"/>
    <w:rsid w:val="001C1845"/>
    <w:rsid w:val="00332D5F"/>
    <w:rsid w:val="004364F2"/>
    <w:rsid w:val="004C0EC2"/>
    <w:rsid w:val="0052725D"/>
    <w:rsid w:val="006601E0"/>
    <w:rsid w:val="008440B9"/>
    <w:rsid w:val="00846E58"/>
    <w:rsid w:val="008A10AC"/>
    <w:rsid w:val="008D4016"/>
    <w:rsid w:val="0094168E"/>
    <w:rsid w:val="009C6D23"/>
    <w:rsid w:val="00B17F3B"/>
    <w:rsid w:val="00B80329"/>
    <w:rsid w:val="00C424EB"/>
    <w:rsid w:val="00CA3C63"/>
    <w:rsid w:val="00CF1708"/>
    <w:rsid w:val="00FF0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D23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rsid w:val="009C6D2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9C6D23"/>
    <w:pPr>
      <w:spacing w:before="100" w:beforeAutospacing="1" w:after="100" w:afterAutospacing="1"/>
    </w:pPr>
    <w:rPr>
      <w:sz w:val="23"/>
      <w:szCs w:val="23"/>
    </w:rPr>
  </w:style>
  <w:style w:type="paragraph" w:customStyle="1" w:styleId="gray1">
    <w:name w:val="gray_1"/>
    <w:basedOn w:val="Normal"/>
    <w:rsid w:val="00CF1708"/>
    <w:pPr>
      <w:spacing w:before="100" w:beforeAutospacing="1" w:after="100" w:afterAutospacing="1"/>
    </w:pPr>
    <w:rPr>
      <w:lang w:eastAsia="zh-CN"/>
    </w:rPr>
  </w:style>
  <w:style w:type="paragraph" w:customStyle="1" w:styleId="gray2">
    <w:name w:val="gray_2"/>
    <w:basedOn w:val="Normal"/>
    <w:rsid w:val="00CF1708"/>
    <w:pPr>
      <w:spacing w:before="100" w:beforeAutospacing="1" w:after="100" w:afterAutospacing="1"/>
    </w:pPr>
    <w:rPr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01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01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7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75878-FB3E-48FC-850E-3EBE43079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Paciente de sexo masculino, 8 años de edad que consulta por</vt:lpstr>
    </vt:vector>
  </TitlesOfParts>
  <Company>The houze!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Paciente de sexo masculino, 8 años de edad que consulta por</dc:title>
  <dc:creator>Neumo</dc:creator>
  <cp:lastModifiedBy>Propietario</cp:lastModifiedBy>
  <cp:revision>2</cp:revision>
  <dcterms:created xsi:type="dcterms:W3CDTF">2015-03-02T18:27:00Z</dcterms:created>
  <dcterms:modified xsi:type="dcterms:W3CDTF">2015-03-02T18:27:00Z</dcterms:modified>
</cp:coreProperties>
</file>